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799086">
      <w:pPr>
        <w:pStyle w:val="3"/>
        <w:rPr>
          <w:rFonts w:ascii="Times New Roman"/>
          <w:sz w:val="20"/>
        </w:rPr>
      </w:pPr>
    </w:p>
    <w:p w14:paraId="2971A1A7">
      <w:pPr>
        <w:pStyle w:val="3"/>
        <w:rPr>
          <w:rFonts w:ascii="Times New Roman"/>
          <w:sz w:val="20"/>
        </w:rPr>
      </w:pPr>
    </w:p>
    <w:p w14:paraId="6875704E">
      <w:pPr>
        <w:pStyle w:val="3"/>
        <w:rPr>
          <w:rFonts w:ascii="Times New Roman"/>
          <w:sz w:val="20"/>
        </w:rPr>
      </w:pPr>
    </w:p>
    <w:p w14:paraId="091E7C3F">
      <w:pPr>
        <w:pStyle w:val="3"/>
        <w:rPr>
          <w:rFonts w:ascii="Times New Roman"/>
          <w:sz w:val="20"/>
        </w:rPr>
      </w:pPr>
    </w:p>
    <w:p w14:paraId="090466F5">
      <w:pPr>
        <w:pStyle w:val="3"/>
        <w:rPr>
          <w:rFonts w:ascii="Times New Roman"/>
          <w:sz w:val="20"/>
        </w:rPr>
      </w:pPr>
    </w:p>
    <w:p w14:paraId="08ABD8F0">
      <w:pPr>
        <w:pStyle w:val="3"/>
        <w:spacing w:before="8"/>
        <w:rPr>
          <w:rFonts w:ascii="Times New Roman"/>
          <w:sz w:val="28"/>
        </w:rPr>
      </w:pPr>
    </w:p>
    <w:p w14:paraId="6A40ADE4">
      <w:pPr>
        <w:spacing w:before="0" w:line="1400" w:lineRule="exact"/>
        <w:ind w:left="406" w:right="567" w:firstLine="0"/>
        <w:jc w:val="center"/>
        <w:rPr>
          <w:rFonts w:hint="eastAsia" w:ascii="方正小标宋简体" w:eastAsia="方正小标宋简体"/>
          <w:sz w:val="86"/>
        </w:rPr>
      </w:pPr>
      <w:r>
        <w:rPr>
          <w:rFonts w:hint="eastAsia" w:ascii="方正小标宋简体" w:eastAsia="方正小标宋简体"/>
          <w:color w:val="FF0000"/>
          <w:spacing w:val="59"/>
          <w:w w:val="80"/>
          <w:sz w:val="86"/>
          <w:lang w:eastAsia="zh-CN"/>
        </w:rPr>
        <w:t>威海市</w:t>
      </w:r>
      <w:r>
        <w:rPr>
          <w:rFonts w:hint="eastAsia" w:ascii="方正小标宋简体" w:eastAsia="方正小标宋简体"/>
          <w:color w:val="FF0000"/>
          <w:spacing w:val="59"/>
          <w:w w:val="80"/>
          <w:sz w:val="86"/>
        </w:rPr>
        <w:t>残疾人联合会文件</w:t>
      </w:r>
    </w:p>
    <w:p w14:paraId="79704D7B">
      <w:pPr>
        <w:pStyle w:val="3"/>
        <w:spacing w:before="730"/>
        <w:ind w:left="400" w:right="567"/>
        <w:jc w:val="center"/>
      </w:pPr>
      <w:r>
        <w:pict>
          <v:line id="_x0000_s1026" o:spid="_x0000_s1026" o:spt="20" style="position:absolute;left:0pt;margin-left:82.4pt;margin-top:62.75pt;height:0pt;width:436pt;mso-position-horizontal-relative:page;mso-wrap-distance-bottom:0pt;mso-wrap-distance-top:0pt;z-index:-251654144;mso-width-relative:page;mso-height-relative:page;" stroked="t" coordsize="21600,21600">
            <v:path arrowok="t"/>
            <v:fill focussize="0,0"/>
            <v:stroke weight="2pt" color="#FF0000"/>
            <v:imagedata o:title=""/>
            <o:lock v:ext="edit"/>
            <w10:wrap type="topAndBottom"/>
          </v:line>
        </w:pict>
      </w:r>
      <w:r>
        <w:rPr>
          <w:rFonts w:hint="eastAsia"/>
          <w:lang w:eastAsia="zh-CN"/>
        </w:rPr>
        <w:t>威</w:t>
      </w:r>
      <w:r>
        <w:t>残联发〔2022〕</w:t>
      </w:r>
      <w:r>
        <w:rPr>
          <w:rFonts w:hint="eastAsia"/>
          <w:lang w:val="en-US" w:eastAsia="zh-CN"/>
        </w:rPr>
        <w:t xml:space="preserve">14 </w:t>
      </w:r>
      <w:r>
        <w:t>号</w:t>
      </w:r>
    </w:p>
    <w:p w14:paraId="4319E50E">
      <w:pPr>
        <w:pStyle w:val="3"/>
      </w:pPr>
    </w:p>
    <w:p w14:paraId="15D65779">
      <w:pPr>
        <w:pStyle w:val="3"/>
        <w:spacing w:before="5"/>
        <w:rPr>
          <w:sz w:val="41"/>
        </w:rPr>
      </w:pPr>
    </w:p>
    <w:p w14:paraId="32F39CC9">
      <w:pPr>
        <w:pStyle w:val="2"/>
        <w:keepNext w:val="0"/>
        <w:keepLines w:val="0"/>
        <w:pageBreakBefore w:val="0"/>
        <w:widowControl w:val="0"/>
        <w:kinsoku/>
        <w:wordWrap/>
        <w:overflowPunct/>
        <w:topLinePunct w:val="0"/>
        <w:autoSpaceDE w:val="0"/>
        <w:autoSpaceDN w:val="0"/>
        <w:bidi w:val="0"/>
        <w:adjustRightInd/>
        <w:snapToGrid/>
        <w:spacing w:line="700" w:lineRule="exact"/>
        <w:ind w:left="0" w:right="0"/>
        <w:jc w:val="center"/>
        <w:textAlignment w:val="auto"/>
      </w:pPr>
      <w:r>
        <w:t>关于印发《</w:t>
      </w:r>
      <w:r>
        <w:rPr>
          <w:rFonts w:hint="eastAsia"/>
          <w:lang w:eastAsia="zh-CN"/>
        </w:rPr>
        <w:t>威海市</w:t>
      </w:r>
      <w:r>
        <w:t>残联系统开展法治宣传教育第八个五年规划（2021-2025 年）》的通知</w:t>
      </w:r>
    </w:p>
    <w:p w14:paraId="092E6979">
      <w:pPr>
        <w:pStyle w:val="3"/>
        <w:spacing w:before="11"/>
        <w:rPr>
          <w:rFonts w:ascii="方正小标宋简体"/>
          <w:sz w:val="35"/>
        </w:rPr>
      </w:pPr>
    </w:p>
    <w:p w14:paraId="44587077">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caps w:val="0"/>
          <w:color w:val="171A1D"/>
          <w:spacing w:val="0"/>
          <w:sz w:val="32"/>
          <w:szCs w:val="32"/>
          <w:shd w:val="clear" w:color="auto" w:fill="auto"/>
        </w:rPr>
        <w:t>各区市残联、国家级开发区社会工作部、南海新区公共服务局：</w:t>
      </w:r>
    </w:p>
    <w:p w14:paraId="463EE314">
      <w:pPr>
        <w:pStyle w:val="3"/>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现将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威海市</w:t>
      </w:r>
      <w:r>
        <w:rPr>
          <w:rFonts w:hint="eastAsia" w:ascii="仿宋_GB2312" w:hAnsi="仿宋_GB2312" w:eastAsia="仿宋_GB2312" w:cs="仿宋_GB2312"/>
          <w:sz w:val="32"/>
          <w:szCs w:val="32"/>
        </w:rPr>
        <w:t>残联系统开展法治宣传教育第八个五年规划（2021—2025 年）》印发给你们， 请认真抓好贯彻落实。</w:t>
      </w:r>
    </w:p>
    <w:p w14:paraId="2A8908F6">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textAlignment w:val="auto"/>
        <w:rPr>
          <w:rFonts w:hint="eastAsia" w:ascii="仿宋_GB2312" w:hAnsi="仿宋_GB2312" w:eastAsia="仿宋_GB2312" w:cs="仿宋_GB2312"/>
          <w:sz w:val="32"/>
          <w:szCs w:val="32"/>
        </w:rPr>
      </w:pPr>
    </w:p>
    <w:p w14:paraId="34C93981">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textAlignment w:val="auto"/>
        <w:rPr>
          <w:rFonts w:hint="eastAsia" w:ascii="仿宋_GB2312" w:hAnsi="仿宋_GB2312" w:eastAsia="仿宋_GB2312" w:cs="仿宋_GB2312"/>
          <w:sz w:val="32"/>
          <w:szCs w:val="32"/>
        </w:rPr>
      </w:pPr>
    </w:p>
    <w:p w14:paraId="00A76FAF">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textAlignment w:val="auto"/>
        <w:rPr>
          <w:rFonts w:hint="eastAsia" w:ascii="仿宋_GB2312" w:hAnsi="仿宋_GB2312" w:eastAsia="仿宋_GB2312" w:cs="仿宋_GB2312"/>
          <w:sz w:val="32"/>
          <w:szCs w:val="32"/>
        </w:rPr>
      </w:pPr>
    </w:p>
    <w:p w14:paraId="5B305B7F">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textAlignment w:val="auto"/>
        <w:rPr>
          <w:rFonts w:hint="eastAsia" w:ascii="仿宋_GB2312" w:hAnsi="仿宋_GB2312" w:eastAsia="仿宋_GB2312" w:cs="仿宋_GB2312"/>
          <w:sz w:val="32"/>
          <w:szCs w:val="32"/>
        </w:rPr>
      </w:pPr>
    </w:p>
    <w:p w14:paraId="1E711F2B">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cs="仿宋_GB2312"/>
          <w:sz w:val="32"/>
          <w:szCs w:val="32"/>
          <w:lang w:val="en-US" w:eastAsia="zh-CN"/>
        </w:rPr>
        <w:t xml:space="preserve"> </w:t>
      </w:r>
      <w:bookmarkStart w:id="0" w:name="_GoBack"/>
      <w:bookmarkEnd w:id="0"/>
      <w:r>
        <w:rPr>
          <w:rFonts w:hint="eastAsia" w:ascii="仿宋_GB2312" w:hAnsi="仿宋_GB2312" w:eastAsia="仿宋_GB2312" w:cs="仿宋_GB2312"/>
          <w:sz w:val="32"/>
          <w:szCs w:val="32"/>
          <w:lang w:val="en-US" w:eastAsia="zh-CN"/>
        </w:rPr>
        <w:t>威海市残疾人联合会</w:t>
      </w:r>
    </w:p>
    <w:p w14:paraId="4E9D426A">
      <w:pPr>
        <w:keepNext w:val="0"/>
        <w:keepLines w:val="0"/>
        <w:pageBreakBefore w:val="0"/>
        <w:widowControl w:val="0"/>
        <w:kinsoku/>
        <w:wordWrap/>
        <w:overflowPunct/>
        <w:topLinePunct w:val="0"/>
        <w:autoSpaceDE w:val="0"/>
        <w:autoSpaceDN w:val="0"/>
        <w:bidi w:val="0"/>
        <w:adjustRightInd/>
        <w:snapToGrid/>
        <w:spacing w:before="0" w:after="0" w:line="560" w:lineRule="exact"/>
        <w:ind w:left="0" w:right="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2022年6月14日</w:t>
      </w:r>
    </w:p>
    <w:p w14:paraId="0855BC41">
      <w:pPr>
        <w:spacing w:after="0" w:line="336" w:lineRule="auto"/>
        <w:rPr>
          <w:rFonts w:hint="default" w:ascii="仿宋" w:hAnsi="仿宋" w:eastAsia="仿宋" w:cs="仿宋"/>
          <w:sz w:val="32"/>
          <w:szCs w:val="32"/>
          <w:lang w:val="en-US" w:eastAsia="zh-CN"/>
        </w:rPr>
        <w:sectPr>
          <w:footerReference r:id="rId5" w:type="default"/>
          <w:footerReference r:id="rId6" w:type="even"/>
          <w:type w:val="continuous"/>
          <w:pgSz w:w="11910" w:h="16840"/>
          <w:pgMar w:top="1580" w:right="1200" w:bottom="1700" w:left="1480" w:header="720" w:footer="1506" w:gutter="0"/>
          <w:pgNumType w:start="1"/>
          <w:cols w:space="720" w:num="1"/>
        </w:sectPr>
      </w:pPr>
      <w:r>
        <w:rPr>
          <w:rFonts w:hint="eastAsia" w:ascii="仿宋" w:hAnsi="仿宋" w:eastAsia="仿宋" w:cs="仿宋"/>
          <w:sz w:val="32"/>
          <w:szCs w:val="32"/>
          <w:lang w:val="en-US" w:eastAsia="zh-CN"/>
        </w:rPr>
        <w:t xml:space="preserve">              </w:t>
      </w:r>
    </w:p>
    <w:p w14:paraId="33FBF32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700" w:lineRule="atLeast"/>
        <w:ind w:left="0" w:right="0" w:firstLine="0"/>
        <w:jc w:val="center"/>
        <w:textAlignment w:val="auto"/>
        <w:rPr>
          <w:rFonts w:hint="eastAsia" w:ascii="方正小标宋简体" w:hAnsi="方正小标宋简体" w:eastAsia="方正小标宋简体" w:cs="方正小标宋简体"/>
          <w:i w:val="0"/>
          <w:iCs w:val="0"/>
          <w:caps w:val="0"/>
          <w:color w:val="000000" w:themeColor="text1"/>
          <w:spacing w:val="0"/>
          <w:sz w:val="44"/>
          <w:szCs w:val="44"/>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shd w:val="clear" w:fill="FFFFFF"/>
          <w:lang w:val="en-US" w:eastAsia="zh-CN"/>
          <w14:textFill>
            <w14:solidFill>
              <w14:schemeClr w14:val="tx1"/>
            </w14:solidFill>
          </w14:textFill>
        </w:rPr>
        <w:t>威海</w:t>
      </w:r>
      <w:r>
        <w:rPr>
          <w:rFonts w:hint="eastAsia" w:ascii="方正小标宋简体" w:hAnsi="方正小标宋简体" w:eastAsia="方正小标宋简体" w:cs="方正小标宋简体"/>
          <w:i w:val="0"/>
          <w:iCs w:val="0"/>
          <w:caps w:val="0"/>
          <w:color w:val="000000" w:themeColor="text1"/>
          <w:spacing w:val="0"/>
          <w:sz w:val="44"/>
          <w:szCs w:val="44"/>
          <w:shd w:val="clear" w:fill="FFFFFF"/>
          <w14:textFill>
            <w14:solidFill>
              <w14:schemeClr w14:val="tx1"/>
            </w14:solidFill>
          </w14:textFill>
        </w:rPr>
        <w:t>市残联系统开展法治宣传教育的</w:t>
      </w:r>
    </w:p>
    <w:p w14:paraId="34CDA1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700" w:lineRule="atLeast"/>
        <w:ind w:left="0" w:right="0" w:firstLine="0"/>
        <w:jc w:val="center"/>
        <w:textAlignment w:val="auto"/>
        <w:rPr>
          <w:rFonts w:hint="eastAsia" w:ascii="方正小标宋简体" w:hAnsi="方正小标宋简体" w:eastAsia="方正小标宋简体" w:cs="方正小标宋简体"/>
          <w:i w:val="0"/>
          <w:iCs w:val="0"/>
          <w:caps w:val="0"/>
          <w:color w:val="000000" w:themeColor="text1"/>
          <w:spacing w:val="0"/>
          <w:sz w:val="44"/>
          <w:szCs w:val="44"/>
          <w:shd w:val="clear" w:fill="FFFFFF"/>
          <w14:textFill>
            <w14:solidFill>
              <w14:schemeClr w14:val="tx1"/>
            </w14:solidFill>
          </w14:textFill>
        </w:rPr>
      </w:pPr>
      <w:r>
        <w:rPr>
          <w:rFonts w:hint="eastAsia" w:ascii="方正小标宋简体" w:hAnsi="方正小标宋简体" w:eastAsia="方正小标宋简体" w:cs="方正小标宋简体"/>
          <w:i w:val="0"/>
          <w:iCs w:val="0"/>
          <w:caps w:val="0"/>
          <w:color w:val="000000" w:themeColor="text1"/>
          <w:spacing w:val="0"/>
          <w:sz w:val="44"/>
          <w:szCs w:val="44"/>
          <w:shd w:val="clear" w:fill="FFFFFF"/>
          <w14:textFill>
            <w14:solidFill>
              <w14:schemeClr w14:val="tx1"/>
            </w14:solidFill>
          </w14:textFill>
        </w:rPr>
        <w:t>第八个五年规划（2021—2025年）</w:t>
      </w:r>
    </w:p>
    <w:p w14:paraId="5487DCB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rPr>
          <w:rFonts w:hint="eastAsia" w:ascii="方正小标宋简体" w:hAnsi="方正小标宋简体" w:eastAsia="方正小标宋简体" w:cs="方正小标宋简体"/>
          <w:i w:val="0"/>
          <w:iCs w:val="0"/>
          <w:caps w:val="0"/>
          <w:color w:val="3D3D3D"/>
          <w:spacing w:val="0"/>
          <w:sz w:val="36"/>
          <w:szCs w:val="36"/>
          <w:shd w:val="clear" w:fill="FFFFFF"/>
        </w:rPr>
      </w:pPr>
    </w:p>
    <w:p w14:paraId="2D09F19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w w:val="10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在</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市</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委、</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市</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政府的</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坚强领导</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下，在</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省残联的大力</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指导下，我市残联系统“七五”法治宣传教育规划顺利实施，各项普法目标任务全面完成，普法工作成效显著，特别是残疾人学法用法</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取得新突破，维权意识明显增强</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。为深入学习贯彻习近平法治思想，有效落实全面依法治国部署，根据《关于印发〈</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山东</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省残联系统开展法治宣传教育的第八个五年规划(2021—2025年)〉的通知》</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（鲁残联发</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[2022]4号</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）和</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《中共</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威海</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市委、</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威海</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市人民政府转发〈市委宣传部、市司法局关于在全市开展法治宣传教育的第八个五年规划（2021—2025年）〉》</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（威发</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[2021]20号</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）要求</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，结合我市</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残疾人</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工作实际，制定本规划。</w:t>
      </w:r>
    </w:p>
    <w:p w14:paraId="6FD654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themeColor="text1"/>
          <w:spacing w:val="0"/>
          <w:w w:val="100"/>
          <w:sz w:val="32"/>
          <w:szCs w:val="32"/>
          <w:shd w:val="clear" w:fill="FFFFFF"/>
          <w14:textFill>
            <w14:solidFill>
              <w14:schemeClr w14:val="tx1"/>
            </w14:solidFill>
          </w14:textFill>
        </w:rPr>
      </w:pPr>
      <w:r>
        <w:rPr>
          <w:rFonts w:hint="eastAsia" w:ascii="黑体" w:hAnsi="黑体" w:eastAsia="黑体" w:cs="黑体"/>
          <w:b w:val="0"/>
          <w:bCs w:val="0"/>
          <w:i w:val="0"/>
          <w:iCs w:val="0"/>
          <w:caps w:val="0"/>
          <w:color w:val="000000" w:themeColor="text1"/>
          <w:spacing w:val="0"/>
          <w:w w:val="100"/>
          <w:sz w:val="32"/>
          <w:szCs w:val="32"/>
          <w:shd w:val="clear" w:fill="FFFFFF"/>
          <w14:textFill>
            <w14:solidFill>
              <w14:schemeClr w14:val="tx1"/>
            </w14:solidFill>
          </w14:textFill>
        </w:rPr>
        <w:t>一、</w:t>
      </w:r>
      <w:r>
        <w:rPr>
          <w:rFonts w:hint="eastAsia" w:ascii="黑体" w:hAnsi="黑体" w:eastAsia="黑体" w:cs="黑体"/>
          <w:i w:val="0"/>
          <w:iCs w:val="0"/>
          <w:caps w:val="0"/>
          <w:color w:val="000000" w:themeColor="text1"/>
          <w:spacing w:val="0"/>
          <w:w w:val="100"/>
          <w:sz w:val="32"/>
          <w:szCs w:val="32"/>
          <w:shd w:val="clear" w:fill="FFFFFF"/>
          <w14:textFill>
            <w14:solidFill>
              <w14:schemeClr w14:val="tx1"/>
            </w14:solidFill>
          </w14:textFill>
        </w:rPr>
        <w:t>指导思想</w:t>
      </w:r>
    </w:p>
    <w:p w14:paraId="39BB250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w w:val="10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坚持以习近平新时代中国特色社会主义思想为指导，全面贯彻落实党的十九大和十九届历次全会精神，深入贯彻习近平法治思想，增强“四个意识”、坚定“四个自信”、做到“两个维护”，</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积极回应残疾群众对普法工作的新需求、新期待，按照“精致城市</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.幸福威海</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”建设的要求，围绕威海市残疾人事业发展“十四五”规划，</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以提高残疾人事业法治化水平和提升残疾人法治素养为重点，</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坚持“党建引领</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.同心助残</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扎实开展法治宣传教育，</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弘扬社会主义法治精神，</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依法推动</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我市</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残疾人事业</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高质量发展</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，不断满足残疾人美好生活需要。</w:t>
      </w:r>
    </w:p>
    <w:p w14:paraId="084999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themeColor="text1"/>
          <w:spacing w:val="0"/>
          <w:w w:val="100"/>
          <w:sz w:val="32"/>
          <w:szCs w:val="32"/>
          <w:shd w:val="clear" w:fill="FFFFFF"/>
          <w14:textFill>
            <w14:solidFill>
              <w14:schemeClr w14:val="tx1"/>
            </w14:solidFill>
          </w14:textFill>
        </w:rPr>
      </w:pPr>
      <w:r>
        <w:rPr>
          <w:rFonts w:hint="eastAsia" w:ascii="黑体" w:hAnsi="黑体" w:eastAsia="黑体" w:cs="黑体"/>
          <w:i w:val="0"/>
          <w:iCs w:val="0"/>
          <w:caps w:val="0"/>
          <w:color w:val="000000" w:themeColor="text1"/>
          <w:spacing w:val="0"/>
          <w:w w:val="100"/>
          <w:sz w:val="32"/>
          <w:szCs w:val="32"/>
          <w:shd w:val="clear" w:fill="FFFFFF"/>
          <w:lang w:eastAsia="zh-CN"/>
          <w14:textFill>
            <w14:solidFill>
              <w14:schemeClr w14:val="tx1"/>
            </w14:solidFill>
          </w14:textFill>
        </w:rPr>
        <w:t>二、工作</w:t>
      </w:r>
      <w:r>
        <w:rPr>
          <w:rFonts w:hint="eastAsia" w:ascii="黑体" w:hAnsi="黑体" w:eastAsia="黑体" w:cs="黑体"/>
          <w:i w:val="0"/>
          <w:iCs w:val="0"/>
          <w:caps w:val="0"/>
          <w:color w:val="000000" w:themeColor="text1"/>
          <w:spacing w:val="0"/>
          <w:w w:val="100"/>
          <w:sz w:val="32"/>
          <w:szCs w:val="32"/>
          <w:shd w:val="clear" w:fill="FFFFFF"/>
          <w14:textFill>
            <w14:solidFill>
              <w14:schemeClr w14:val="tx1"/>
            </w14:solidFill>
          </w14:textFill>
        </w:rPr>
        <w:t>目标</w:t>
      </w:r>
    </w:p>
    <w:p w14:paraId="60FCFB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w w:val="100"/>
          <w:sz w:val="32"/>
          <w:szCs w:val="32"/>
          <w14:textFill>
            <w14:solidFill>
              <w14:schemeClr w14:val="tx1"/>
            </w14:solidFill>
          </w14:textFill>
        </w:rPr>
      </w:pP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到2025年，</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全市</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残疾人事业法治化水平显著提高，社会治理创新理念全面融入残疾人事业发展进程</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《中华人民共和国残疾人保障法》等与残疾人事业紧密相连的法律法规得到广泛宣传贯彻</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残疾人尊法学法守法用法的意识明显增强</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；各级残联和</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残疾人工作者依法维护残疾人权益的能力</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进一步提升；</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尊重、关心、理解、</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保护</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残疾人的社会氛围更加浓厚。</w:t>
      </w:r>
    </w:p>
    <w:p w14:paraId="2D0608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b w:val="0"/>
          <w:bCs w:val="0"/>
          <w:i w:val="0"/>
          <w:iCs w:val="0"/>
          <w:caps w:val="0"/>
          <w:color w:val="000000" w:themeColor="text1"/>
          <w:spacing w:val="0"/>
          <w:w w:val="100"/>
          <w:sz w:val="32"/>
          <w:szCs w:val="32"/>
          <w14:textFill>
            <w14:solidFill>
              <w14:schemeClr w14:val="tx1"/>
            </w14:solidFill>
          </w14:textFill>
        </w:rPr>
      </w:pPr>
      <w:r>
        <w:rPr>
          <w:rFonts w:hint="eastAsia" w:ascii="黑体" w:hAnsi="黑体" w:eastAsia="黑体" w:cs="黑体"/>
          <w:b w:val="0"/>
          <w:bCs w:val="0"/>
          <w:i w:val="0"/>
          <w:iCs w:val="0"/>
          <w:caps w:val="0"/>
          <w:color w:val="000000" w:themeColor="text1"/>
          <w:spacing w:val="0"/>
          <w:w w:val="100"/>
          <w:sz w:val="32"/>
          <w:szCs w:val="32"/>
          <w:shd w:val="clear" w:fill="FFFFFF"/>
          <w:lang w:eastAsia="zh-CN"/>
          <w14:textFill>
            <w14:solidFill>
              <w14:schemeClr w14:val="tx1"/>
            </w14:solidFill>
          </w14:textFill>
        </w:rPr>
        <w:t>三</w:t>
      </w:r>
      <w:r>
        <w:rPr>
          <w:rFonts w:hint="eastAsia" w:ascii="黑体" w:hAnsi="黑体" w:eastAsia="黑体" w:cs="黑体"/>
          <w:b w:val="0"/>
          <w:bCs w:val="0"/>
          <w:i w:val="0"/>
          <w:iCs w:val="0"/>
          <w:caps w:val="0"/>
          <w:color w:val="000000" w:themeColor="text1"/>
          <w:spacing w:val="0"/>
          <w:w w:val="100"/>
          <w:sz w:val="32"/>
          <w:szCs w:val="32"/>
          <w:shd w:val="clear" w:fill="FFFFFF"/>
          <w14:textFill>
            <w14:solidFill>
              <w14:schemeClr w14:val="tx1"/>
            </w14:solidFill>
          </w14:textFill>
        </w:rPr>
        <w:t>、重点任务</w:t>
      </w:r>
    </w:p>
    <w:p w14:paraId="18C98C5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pPr>
      <w:r>
        <w:rPr>
          <w:rFonts w:hint="eastAsia" w:ascii="楷体_GB2312" w:hAnsi="楷体_GB2312" w:eastAsia="楷体_GB2312" w:cs="楷体_GB2312"/>
          <w:i w:val="0"/>
          <w:iCs w:val="0"/>
          <w:caps w:val="0"/>
          <w:color w:val="000000" w:themeColor="text1"/>
          <w:spacing w:val="0"/>
          <w:w w:val="100"/>
          <w:sz w:val="32"/>
          <w:szCs w:val="32"/>
          <w:shd w:val="clear" w:fill="FFFFFF"/>
          <w14:textFill>
            <w14:solidFill>
              <w14:schemeClr w14:val="tx1"/>
            </w14:solidFill>
          </w14:textFill>
        </w:rPr>
        <w:t>（一）突出学习宣传习近平法治思想。</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坚持以习近平法治思想引领残联系统法治宣传教育工作，深入学习宣传习近平法治思想的重大意义、丰富内涵、精神实质和实践要求。把习近平法治思想作为各级残联党组理论学习中心组学习重点内容，</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列入</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各级残联干部学习培训重点</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内容</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w:t>
      </w:r>
      <w:r>
        <w:rPr>
          <w:rFonts w:hint="eastAsia" w:ascii="仿宋_GB2312" w:hAnsi="仿宋_GB2312" w:eastAsia="仿宋_GB2312" w:cs="仿宋_GB2312"/>
          <w:i w:val="0"/>
          <w:iCs w:val="0"/>
          <w:caps w:val="0"/>
          <w:color w:val="000000" w:themeColor="text1"/>
          <w:spacing w:val="0"/>
          <w:w w:val="100"/>
          <w:sz w:val="32"/>
          <w:szCs w:val="32"/>
          <w:shd w:val="clear" w:fill="FFFFFF"/>
          <w:lang w:eastAsia="zh-CN"/>
          <w14:textFill>
            <w14:solidFill>
              <w14:schemeClr w14:val="tx1"/>
            </w14:solidFill>
          </w14:textFill>
        </w:rPr>
        <w:t>不断深化思想认识、强化法治意识、筑牢理论根基，不断增强运用法治思维和法治方式开展工作的本领和能力</w:t>
      </w:r>
      <w:r>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t>，推动习近平法治思想入脑入心、走深走实。</w:t>
      </w:r>
    </w:p>
    <w:p w14:paraId="75C9B0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w w:val="100"/>
          <w:kern w:val="0"/>
          <w:sz w:val="32"/>
          <w:szCs w:val="32"/>
          <w:shd w:val="clear" w:fill="FFFFFF"/>
          <w:lang w:val="en-US" w:eastAsia="zh-CN" w:bidi="ar"/>
          <w14:textFill>
            <w14:solidFill>
              <w14:schemeClr w14:val="tx1"/>
            </w14:solidFill>
          </w14:textFill>
        </w:rPr>
      </w:pPr>
      <w:r>
        <w:rPr>
          <w:rFonts w:hint="eastAsia" w:ascii="楷体_GB2312" w:hAnsi="楷体_GB2312" w:eastAsia="楷体_GB2312" w:cs="楷体_GB2312"/>
          <w:i w:val="0"/>
          <w:iCs w:val="0"/>
          <w:caps w:val="0"/>
          <w:color w:val="000000" w:themeColor="text1"/>
          <w:spacing w:val="0"/>
          <w:w w:val="100"/>
          <w:sz w:val="32"/>
          <w:szCs w:val="32"/>
          <w:shd w:val="clear" w:fill="FFFFFF"/>
          <w:lang w:val="en-US" w:eastAsia="zh-CN"/>
          <w14:textFill>
            <w14:solidFill>
              <w14:schemeClr w14:val="tx1"/>
            </w14:solidFill>
          </w14:textFill>
        </w:rPr>
        <w:t>（二）持续推进宪法学习宣传教育。</w:t>
      </w:r>
      <w:r>
        <w:rPr>
          <w:rFonts w:hint="eastAsia" w:ascii="仿宋_GB2312" w:hAnsi="仿宋_GB2312" w:eastAsia="仿宋_GB2312" w:cs="仿宋_GB2312"/>
          <w:i w:val="0"/>
          <w:iCs w:val="0"/>
          <w:caps w:val="0"/>
          <w:color w:val="000000" w:themeColor="text1"/>
          <w:spacing w:val="0"/>
          <w:w w:val="100"/>
          <w:sz w:val="32"/>
          <w:szCs w:val="32"/>
          <w:shd w:val="clear" w:fill="FFFFFF"/>
          <w:lang w:val="en-US" w:eastAsia="zh-CN"/>
          <w14:textFill>
            <w14:solidFill>
              <w14:schemeClr w14:val="tx1"/>
            </w14:solidFill>
          </w14:textFill>
        </w:rPr>
        <w:t>坚持把学习宣传宪法摆在首要位置，利用每年“12·4”国家宪法日、宪法宣传周暨山东省法治宣传教育月等重要节点集中组织法律咨询、法治讲座、法律知识竞赛等多种形式的宣传教育活动，提高广大残疾人、残疾人亲友及各级残联干部的宪法意识。加强国旗法、国歌法等宪法相关法的学习宣传，强化国家认同。注重在地方性法规、政府规章、规范性文件制定和备案</w:t>
      </w:r>
      <w:r>
        <w:rPr>
          <w:rFonts w:hint="eastAsia" w:ascii="仿宋_GB2312" w:hAnsi="仿宋_GB2312" w:eastAsia="仿宋_GB2312" w:cs="仿宋_GB2312"/>
          <w:i w:val="0"/>
          <w:iCs w:val="0"/>
          <w:caps w:val="0"/>
          <w:color w:val="000000" w:themeColor="text1"/>
          <w:spacing w:val="0"/>
          <w:w w:val="100"/>
          <w:kern w:val="0"/>
          <w:sz w:val="32"/>
          <w:szCs w:val="32"/>
          <w:shd w:val="clear" w:fill="FFFFFF"/>
          <w:lang w:val="en-US" w:eastAsia="zh-CN" w:bidi="ar"/>
          <w14:textFill>
            <w14:solidFill>
              <w14:schemeClr w14:val="tx1"/>
            </w14:solidFill>
          </w14:textFill>
        </w:rPr>
        <w:t>审查工作中强化宪法精神的宣传，维护宪法尊严和权威。</w:t>
      </w:r>
    </w:p>
    <w:p w14:paraId="0497FF61">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color w:val="000000" w:themeColor="text1"/>
          <w:spacing w:val="0"/>
          <w:w w:val="100"/>
          <w:sz w:val="32"/>
          <w:szCs w:val="32"/>
          <w14:textFill>
            <w14:solidFill>
              <w14:schemeClr w14:val="tx1"/>
            </w14:solidFill>
          </w14:textFill>
        </w:rPr>
      </w:pPr>
      <w:r>
        <w:rPr>
          <w:rFonts w:hint="eastAsia" w:ascii="楷体_GB2312" w:hAnsi="楷体_GB2312" w:eastAsia="楷体_GB2312" w:cs="楷体_GB2312"/>
          <w:color w:val="000000" w:themeColor="text1"/>
          <w:spacing w:val="0"/>
          <w:w w:val="100"/>
          <w:sz w:val="32"/>
          <w14:textFill>
            <w14:solidFill>
              <w14:schemeClr w14:val="tx1"/>
            </w14:solidFill>
          </w14:textFill>
        </w:rPr>
        <w:t>（三）广泛开展民法典普法工作。</w:t>
      </w:r>
      <w:r>
        <w:rPr>
          <w:rFonts w:hint="eastAsia" w:ascii="仿宋_GB2312" w:hAnsi="仿宋_GB2312" w:eastAsia="仿宋_GB2312" w:cs="仿宋_GB2312"/>
          <w:color w:val="000000" w:themeColor="text1"/>
          <w:spacing w:val="0"/>
          <w:w w:val="100"/>
          <w:sz w:val="32"/>
          <w:szCs w:val="32"/>
          <w14:textFill>
            <w14:solidFill>
              <w14:schemeClr w14:val="tx1"/>
            </w14:solidFill>
          </w14:textFill>
        </w:rPr>
        <w:t>将民法典纳入各级残联机关学法考法的重要内容，推动领导干部、残疾人工作者做学习、遵守、维护民法典的表率。阐释好民法典关于坚持主体平等、保护财产权利、维护人格尊严、促进家庭和谐、追究侵权责任等基本要求和精神，重点宣传好民法典中与残疾人生产生活密切相关的法律条款，有效发挥民法典在维护残疾人合法权益中的重要作用。以“美好</w:t>
      </w:r>
      <w:r>
        <w:rPr>
          <w:rFonts w:hint="eastAsia" w:cs="仿宋_GB2312"/>
          <w:color w:val="000000" w:themeColor="text1"/>
          <w:spacing w:val="0"/>
          <w:w w:val="100"/>
          <w:sz w:val="32"/>
          <w:szCs w:val="32"/>
          <w:lang w:eastAsia="zh-CN"/>
          <w14:textFill>
            <w14:solidFill>
              <w14:schemeClr w14:val="tx1"/>
            </w14:solidFill>
          </w14:textFill>
        </w:rPr>
        <w:t>生</w:t>
      </w:r>
      <w:r>
        <w:rPr>
          <w:rFonts w:hint="eastAsia" w:ascii="仿宋_GB2312" w:hAnsi="仿宋_GB2312" w:eastAsia="仿宋_GB2312" w:cs="仿宋_GB2312"/>
          <w:color w:val="000000" w:themeColor="text1"/>
          <w:spacing w:val="0"/>
          <w:w w:val="100"/>
          <w:sz w:val="32"/>
          <w:szCs w:val="32"/>
          <w14:textFill>
            <w14:solidFill>
              <w14:schemeClr w14:val="tx1"/>
            </w14:solidFill>
          </w14:textFill>
        </w:rPr>
        <w:t>活·民法典相伴”为主题组织开展多种形式的民法典宣传活动，让民法典走到残疾人身边、走进残疾人心里。</w:t>
      </w:r>
    </w:p>
    <w:p w14:paraId="25161E63">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jc w:val="both"/>
        <w:textAlignment w:val="auto"/>
        <w:rPr>
          <w:color w:val="000000" w:themeColor="text1"/>
          <w:spacing w:val="0"/>
          <w:w w:val="100"/>
          <w:sz w:val="32"/>
          <w14:textFill>
            <w14:solidFill>
              <w14:schemeClr w14:val="tx1"/>
            </w14:solidFill>
          </w14:textFill>
        </w:rPr>
      </w:pPr>
      <w:r>
        <w:rPr>
          <w:rFonts w:hint="eastAsia" w:ascii="楷体_GB2312" w:eastAsia="楷体_GB2312"/>
          <w:color w:val="000000" w:themeColor="text1"/>
          <w:spacing w:val="0"/>
          <w:w w:val="100"/>
          <w:sz w:val="32"/>
          <w14:textFill>
            <w14:solidFill>
              <w14:schemeClr w14:val="tx1"/>
            </w14:solidFill>
          </w14:textFill>
        </w:rPr>
        <w:t>（四）强化残疾人相关法律法规宣传。</w:t>
      </w:r>
      <w:r>
        <w:rPr>
          <w:color w:val="000000" w:themeColor="text1"/>
          <w:spacing w:val="0"/>
          <w:w w:val="100"/>
          <w:sz w:val="32"/>
          <w14:textFill>
            <w14:solidFill>
              <w14:schemeClr w14:val="tx1"/>
            </w14:solidFill>
          </w14:textFill>
        </w:rPr>
        <w:t>把学习宣传残疾人事业法律法规作为基本任务，重点宣传国家残疾人相关的法律法规和《山东省实施〈中华人民共和国残疾人保障法〉办法》</w:t>
      </w:r>
      <w:r>
        <w:rPr>
          <w:rFonts w:hint="eastAsia"/>
          <w:color w:val="000000" w:themeColor="text1"/>
          <w:spacing w:val="0"/>
          <w:w w:val="100"/>
          <w:sz w:val="32"/>
          <w:lang w:eastAsia="zh-CN"/>
          <w14:textFill>
            <w14:solidFill>
              <w14:schemeClr w14:val="tx1"/>
            </w14:solidFill>
          </w14:textFill>
        </w:rPr>
        <w:t>、</w:t>
      </w:r>
      <w:r>
        <w:rPr>
          <w:color w:val="000000" w:themeColor="text1"/>
          <w:spacing w:val="0"/>
          <w:w w:val="100"/>
          <w:sz w:val="32"/>
          <w14:textFill>
            <w14:solidFill>
              <w14:schemeClr w14:val="tx1"/>
            </w14:solidFill>
          </w14:textFill>
        </w:rPr>
        <w:t>《山东省残疾人就业办法》</w:t>
      </w:r>
      <w:r>
        <w:rPr>
          <w:rFonts w:hint="eastAsia"/>
          <w:color w:val="000000" w:themeColor="text1"/>
          <w:spacing w:val="0"/>
          <w:w w:val="100"/>
          <w:sz w:val="32"/>
          <w:lang w:eastAsia="zh-CN"/>
          <w14:textFill>
            <w14:solidFill>
              <w14:schemeClr w14:val="tx1"/>
            </w14:solidFill>
          </w14:textFill>
        </w:rPr>
        <w:t>、</w:t>
      </w:r>
      <w:r>
        <w:rPr>
          <w:color w:val="000000" w:themeColor="text1"/>
          <w:spacing w:val="0"/>
          <w:w w:val="100"/>
          <w:sz w:val="32"/>
          <w14:textFill>
            <w14:solidFill>
              <w14:schemeClr w14:val="tx1"/>
            </w14:solidFill>
          </w14:textFill>
        </w:rPr>
        <w:t>《山东省无障碍环境建设办法》等，及时做好新出台法律法规政策的学习培训和宣传解读工作，在全社会形成广大残疾人知晓权利义务、残疾人工作者明确职责任务、社会公众履行社会责任的良好法治氛围。</w:t>
      </w:r>
      <w:r>
        <w:rPr>
          <w:rFonts w:hint="eastAsia"/>
          <w:color w:val="000000" w:themeColor="text1"/>
          <w:spacing w:val="0"/>
          <w:w w:val="100"/>
          <w:sz w:val="32"/>
          <w:lang w:eastAsia="zh-CN"/>
          <w14:textFill>
            <w14:solidFill>
              <w14:schemeClr w14:val="tx1"/>
            </w14:solidFill>
          </w14:textFill>
        </w:rPr>
        <w:t>围绕满足人民群众日益增长的美好生活需要，</w:t>
      </w:r>
      <w:r>
        <w:rPr>
          <w:color w:val="000000" w:themeColor="text1"/>
          <w:spacing w:val="0"/>
          <w:w w:val="100"/>
          <w:sz w:val="32"/>
          <w14:textFill>
            <w14:solidFill>
              <w14:schemeClr w14:val="tx1"/>
            </w14:solidFill>
          </w14:textFill>
        </w:rPr>
        <w:t>积极宣传</w:t>
      </w:r>
      <w:r>
        <w:rPr>
          <w:rFonts w:hint="eastAsia"/>
          <w:color w:val="000000" w:themeColor="text1"/>
          <w:spacing w:val="0"/>
          <w:w w:val="100"/>
          <w:sz w:val="32"/>
          <w:lang w:eastAsia="zh-CN"/>
          <w14:textFill>
            <w14:solidFill>
              <w14:schemeClr w14:val="tx1"/>
            </w14:solidFill>
          </w14:textFill>
        </w:rPr>
        <w:t>教育、就业、社会保障、社会救助、</w:t>
      </w:r>
      <w:r>
        <w:rPr>
          <w:color w:val="000000" w:themeColor="text1"/>
          <w:spacing w:val="0"/>
          <w:w w:val="100"/>
          <w:sz w:val="32"/>
          <w14:textFill>
            <w14:solidFill>
              <w14:schemeClr w14:val="tx1"/>
            </w14:solidFill>
          </w14:textFill>
        </w:rPr>
        <w:t>平等保护、构建和谐劳动关系、防治家庭暴力、个人信息保护等残疾人群众关心关注的法律法规。</w:t>
      </w:r>
    </w:p>
    <w:p w14:paraId="589081A5">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jc w:val="both"/>
        <w:textAlignment w:val="auto"/>
        <w:rPr>
          <w:color w:val="000000" w:themeColor="text1"/>
          <w:spacing w:val="0"/>
          <w:w w:val="100"/>
          <w:sz w:val="32"/>
          <w14:textFill>
            <w14:solidFill>
              <w14:schemeClr w14:val="tx1"/>
            </w14:solidFill>
          </w14:textFill>
        </w:rPr>
      </w:pPr>
      <w:r>
        <w:rPr>
          <w:rFonts w:hint="eastAsia" w:ascii="楷体_GB2312" w:hAnsi="楷体_GB2312" w:eastAsia="楷体_GB2312"/>
          <w:color w:val="000000" w:themeColor="text1"/>
          <w:spacing w:val="0"/>
          <w:w w:val="100"/>
          <w:sz w:val="32"/>
          <w14:textFill>
            <w14:solidFill>
              <w14:schemeClr w14:val="tx1"/>
            </w14:solidFill>
          </w14:textFill>
        </w:rPr>
        <w:t>（五）切实加强党内法规宣传力度。</w:t>
      </w:r>
      <w:r>
        <w:rPr>
          <w:color w:val="000000" w:themeColor="text1"/>
          <w:spacing w:val="0"/>
          <w:w w:val="100"/>
          <w:sz w:val="32"/>
          <w14:textFill>
            <w14:solidFill>
              <w14:schemeClr w14:val="tx1"/>
            </w14:solidFill>
          </w14:textFill>
        </w:rPr>
        <w:t>突出学习宣传党章，教育残联系统广大党员以党章为根本遵循，尊崇党章、遵守党章、贯彻党章、维护党章。把党内法规的学习宣传列入各级残联党组织“三会一课”的重要内容，促进党内法规学习宣传常态化、制度化。把学习掌握党内法规作为合格党员的基本要求，在考核党员、干部时注意了解其对党内法规的学习掌握情况。</w:t>
      </w:r>
    </w:p>
    <w:p w14:paraId="752B928A">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黑体" w:hAnsi="黑体" w:eastAsia="黑体" w:cs="黑体"/>
          <w:color w:val="000000" w:themeColor="text1"/>
          <w:spacing w:val="0"/>
          <w:w w:val="100"/>
          <w:sz w:val="32"/>
          <w:lang w:eastAsia="zh-CN"/>
          <w14:textFill>
            <w14:solidFill>
              <w14:schemeClr w14:val="tx1"/>
            </w14:solidFill>
          </w14:textFill>
        </w:rPr>
      </w:pPr>
      <w:r>
        <w:rPr>
          <w:rFonts w:hint="eastAsia" w:ascii="黑体" w:hAnsi="黑体" w:eastAsia="黑体" w:cs="黑体"/>
          <w:color w:val="000000" w:themeColor="text1"/>
          <w:spacing w:val="0"/>
          <w:w w:val="100"/>
          <w:sz w:val="32"/>
          <w:lang w:val="en-US" w:eastAsia="zh-CN"/>
          <w14:textFill>
            <w14:solidFill>
              <w14:schemeClr w14:val="tx1"/>
            </w14:solidFill>
          </w14:textFill>
        </w:rPr>
        <w:t>四</w:t>
      </w:r>
      <w:r>
        <w:rPr>
          <w:rFonts w:hint="eastAsia" w:ascii="黑体" w:hAnsi="黑体" w:eastAsia="黑体" w:cs="黑体"/>
          <w:color w:val="000000" w:themeColor="text1"/>
          <w:spacing w:val="0"/>
          <w:w w:val="100"/>
          <w:sz w:val="32"/>
          <w14:textFill>
            <w14:solidFill>
              <w14:schemeClr w14:val="tx1"/>
            </w14:solidFill>
          </w14:textFill>
        </w:rPr>
        <w:t>、</w:t>
      </w:r>
      <w:r>
        <w:rPr>
          <w:rFonts w:hint="eastAsia" w:ascii="黑体" w:hAnsi="黑体" w:eastAsia="黑体" w:cs="黑体"/>
          <w:color w:val="000000" w:themeColor="text1"/>
          <w:spacing w:val="0"/>
          <w:w w:val="100"/>
          <w:sz w:val="32"/>
          <w:lang w:val="en-US" w:eastAsia="zh-CN"/>
          <w14:textFill>
            <w14:solidFill>
              <w14:schemeClr w14:val="tx1"/>
            </w14:solidFill>
          </w14:textFill>
        </w:rPr>
        <w:t>推进举措</w:t>
      </w:r>
    </w:p>
    <w:p w14:paraId="5596EB58">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jc w:val="both"/>
        <w:textAlignment w:val="auto"/>
        <w:rPr>
          <w:color w:val="000000" w:themeColor="text1"/>
          <w:spacing w:val="0"/>
          <w:w w:val="100"/>
          <w:sz w:val="32"/>
          <w14:textFill>
            <w14:solidFill>
              <w14:schemeClr w14:val="tx1"/>
            </w14:solidFill>
          </w14:textFill>
        </w:rPr>
      </w:pPr>
      <w:r>
        <w:rPr>
          <w:rFonts w:hint="eastAsia" w:ascii="楷体_GB2312" w:hAnsi="楷体_GB2312" w:eastAsia="楷体_GB2312" w:cs="楷体_GB2312"/>
          <w:color w:val="000000" w:themeColor="text1"/>
          <w:spacing w:val="0"/>
          <w:w w:val="100"/>
          <w:sz w:val="32"/>
          <w14:textFill>
            <w14:solidFill>
              <w14:schemeClr w14:val="tx1"/>
            </w14:solidFill>
          </w14:textFill>
        </w:rPr>
        <w:t>（一）加强残疾人工作者法治宣传教育。</w:t>
      </w:r>
      <w:r>
        <w:rPr>
          <w:color w:val="000000" w:themeColor="text1"/>
          <w:spacing w:val="0"/>
          <w:w w:val="100"/>
          <w:sz w:val="32"/>
          <w14:textFill>
            <w14:solidFill>
              <w14:schemeClr w14:val="tx1"/>
            </w14:solidFill>
          </w14:textFill>
        </w:rPr>
        <w:t>各级残联要全面落实国家工作人员学法用法制度，完善领导干部集体学法制度、干部职工日常学法制度，加强对法律知识的考查测试。将法治宣传教育纳入各级残联干部培训重要内容，建立领导干部应知应会法律法规清单制度，分类分级明确应当掌握的法律法规知识，把法治素养和依法履职情况纳入考核评价干部的重要内容。加强对镇（街道）残联专职干事和村（社区）残协专职委员法治教育培训，切实提高基层残疾人工作服务能力和水平。</w:t>
      </w:r>
    </w:p>
    <w:p w14:paraId="62BC3B3C">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color w:val="000000" w:themeColor="text1"/>
          <w:spacing w:val="0"/>
          <w:w w:val="100"/>
          <w:sz w:val="32"/>
          <w14:textFill>
            <w14:solidFill>
              <w14:schemeClr w14:val="tx1"/>
            </w14:solidFill>
          </w14:textFill>
        </w:rPr>
      </w:pPr>
      <w:r>
        <w:rPr>
          <w:rFonts w:hint="eastAsia" w:ascii="楷体_GB2312" w:hAnsi="楷体_GB2312" w:eastAsia="楷体_GB2312" w:cs="楷体_GB2312"/>
          <w:color w:val="000000" w:themeColor="text1"/>
          <w:spacing w:val="0"/>
          <w:w w:val="100"/>
          <w:sz w:val="32"/>
          <w14:textFill>
            <w14:solidFill>
              <w14:schemeClr w14:val="tx1"/>
            </w14:solidFill>
          </w14:textFill>
        </w:rPr>
        <w:t>（二）充实法治宣传教育队伍力量。</w:t>
      </w:r>
      <w:r>
        <w:rPr>
          <w:rFonts w:hint="eastAsia" w:ascii="仿宋_GB2312" w:hAnsi="仿宋_GB2312" w:eastAsia="仿宋_GB2312" w:cs="仿宋_GB2312"/>
          <w:color w:val="000000" w:themeColor="text1"/>
          <w:spacing w:val="0"/>
          <w:w w:val="100"/>
          <w:sz w:val="32"/>
          <w14:textFill>
            <w14:solidFill>
              <w14:schemeClr w14:val="tx1"/>
            </w14:solidFill>
          </w14:textFill>
        </w:rPr>
        <w:t>各级残联要加强法治宣传队伍建设，配齐配强工作人员，明确工作职责。聚焦社会力量开展公益普法，积极培育助残公益律师队伍，鼓励律师、仲裁员、公证员、人民调解员、基层法律服务工作者等法律从业人员及高等院校法学专业师生、志愿者等积极参与残联系统法律知识宣传活动。充分发挥残疾人政协委员、人大代表、残疾人各专门协会中优秀法律从业人员在各行业各领域中的普法作用。支持高校、科研院所、社会组织等开展针对残疾人普法宣传教育工作的理论研究。村（社区）残协要主动作为，积极组织残疾人参加适宜的普法活动。</w:t>
      </w:r>
    </w:p>
    <w:p w14:paraId="6C656C1C">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color w:val="000000" w:themeColor="text1"/>
          <w:spacing w:val="0"/>
          <w:w w:val="100"/>
          <w:sz w:val="32"/>
          <w14:textFill>
            <w14:solidFill>
              <w14:schemeClr w14:val="tx1"/>
            </w14:solidFill>
          </w14:textFill>
        </w:rPr>
      </w:pPr>
      <w:r>
        <w:rPr>
          <w:rFonts w:hint="eastAsia" w:ascii="楷体_GB2312" w:hAnsi="楷体_GB2312" w:eastAsia="楷体_GB2312" w:cs="楷体_GB2312"/>
          <w:color w:val="000000" w:themeColor="text1"/>
          <w:spacing w:val="0"/>
          <w:w w:val="100"/>
          <w:sz w:val="32"/>
          <w14:textFill>
            <w14:solidFill>
              <w14:schemeClr w14:val="tx1"/>
            </w14:solidFill>
          </w14:textFill>
        </w:rPr>
        <w:t>（三）创新法治宣传教育平台手段。</w:t>
      </w:r>
      <w:r>
        <w:rPr>
          <w:rFonts w:hint="eastAsia" w:ascii="仿宋_GB2312" w:hAnsi="仿宋_GB2312" w:eastAsia="仿宋_GB2312" w:cs="仿宋_GB2312"/>
          <w:color w:val="000000" w:themeColor="text1"/>
          <w:spacing w:val="0"/>
          <w:w w:val="100"/>
          <w:sz w:val="32"/>
          <w14:textFill>
            <w14:solidFill>
              <w14:schemeClr w14:val="tx1"/>
            </w14:solidFill>
          </w14:textFill>
        </w:rPr>
        <w:t>各级残联要不断创新方法手段、拓展宣传平台，学会运用新技术新媒体推进智慧普法，充分发挥残联网站、微信公众号、</w:t>
      </w:r>
      <w:r>
        <w:rPr>
          <w:rFonts w:hint="eastAsia" w:cs="仿宋_GB2312"/>
          <w:color w:val="000000" w:themeColor="text1"/>
          <w:spacing w:val="0"/>
          <w:w w:val="100"/>
          <w:sz w:val="32"/>
          <w:lang w:eastAsia="zh-CN"/>
          <w14:textFill>
            <w14:solidFill>
              <w14:schemeClr w14:val="tx1"/>
            </w14:solidFill>
          </w14:textFill>
        </w:rPr>
        <w:t>抖音、快手、</w:t>
      </w:r>
      <w:r>
        <w:rPr>
          <w:rFonts w:hint="eastAsia" w:ascii="仿宋_GB2312" w:hAnsi="仿宋_GB2312" w:eastAsia="仿宋_GB2312" w:cs="仿宋_GB2312"/>
          <w:color w:val="000000" w:themeColor="text1"/>
          <w:spacing w:val="0"/>
          <w:w w:val="100"/>
          <w:sz w:val="32"/>
          <w14:textFill>
            <w14:solidFill>
              <w14:schemeClr w14:val="tx1"/>
            </w14:solidFill>
          </w14:textFill>
        </w:rPr>
        <w:t>微博、移动客户端、“学习强国”山东学习平台、“灯塔-党建在线”</w:t>
      </w:r>
      <w:r>
        <w:rPr>
          <w:rFonts w:hint="eastAsia" w:cs="仿宋_GB2312"/>
          <w:color w:val="000000" w:themeColor="text1"/>
          <w:spacing w:val="0"/>
          <w:w w:val="100"/>
          <w:sz w:val="32"/>
          <w:lang w:eastAsia="zh-CN"/>
          <w14:textFill>
            <w14:solidFill>
              <w14:schemeClr w14:val="tx1"/>
            </w14:solidFill>
          </w14:textFill>
        </w:rPr>
        <w:t>、《同在蓝天下》节目</w:t>
      </w:r>
      <w:r>
        <w:rPr>
          <w:rFonts w:hint="eastAsia" w:ascii="仿宋_GB2312" w:hAnsi="仿宋_GB2312" w:eastAsia="仿宋_GB2312" w:cs="仿宋_GB2312"/>
          <w:color w:val="000000" w:themeColor="text1"/>
          <w:spacing w:val="0"/>
          <w:w w:val="100"/>
          <w:sz w:val="32"/>
          <w14:textFill>
            <w14:solidFill>
              <w14:schemeClr w14:val="tx1"/>
            </w14:solidFill>
          </w14:textFill>
        </w:rPr>
        <w:t>等新媒体资源优势，搭建“互联网+”法治宣传教育平台。充分利用“如康家园”、残疾人法律援助工作站、无障碍环境督导队伍等基层服务阵地，将普法宣传教育工作与残联各项业务工作深度融合。</w:t>
      </w:r>
    </w:p>
    <w:p w14:paraId="60E05852">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color w:val="000000" w:themeColor="text1"/>
          <w:spacing w:val="0"/>
          <w:w w:val="100"/>
          <w:sz w:val="32"/>
          <w14:textFill>
            <w14:solidFill>
              <w14:schemeClr w14:val="tx1"/>
            </w14:solidFill>
          </w14:textFill>
        </w:rPr>
      </w:pPr>
      <w:r>
        <w:rPr>
          <w:rFonts w:hint="eastAsia" w:ascii="楷体_GB2312" w:hAnsi="楷体_GB2312" w:eastAsia="楷体_GB2312" w:cs="楷体_GB2312"/>
          <w:color w:val="000000" w:themeColor="text1"/>
          <w:spacing w:val="0"/>
          <w:w w:val="100"/>
          <w:sz w:val="32"/>
          <w14:textFill>
            <w14:solidFill>
              <w14:schemeClr w14:val="tx1"/>
            </w14:solidFill>
          </w14:textFill>
        </w:rPr>
        <w:t>（四）丰富法治文化宣传教育内容。</w:t>
      </w:r>
      <w:r>
        <w:rPr>
          <w:rFonts w:hint="eastAsia" w:ascii="仿宋_GB2312" w:hAnsi="仿宋_GB2312" w:eastAsia="仿宋_GB2312" w:cs="仿宋_GB2312"/>
          <w:color w:val="000000" w:themeColor="text1"/>
          <w:spacing w:val="0"/>
          <w:w w:val="100"/>
          <w:sz w:val="32"/>
          <w14:textFill>
            <w14:solidFill>
              <w14:schemeClr w14:val="tx1"/>
            </w14:solidFill>
          </w14:textFill>
        </w:rPr>
        <w:t>各级残联要围绕残疾人政策、法规、典型案例等开展及时、有效、权威的解读，切实提高残疾人的法律意识和维权能力，提高社会公众对残疾人普法宣传和权益保障的关注度，推动普法工作与法治实践相结合。鼓励面向残疾人制作内容简洁、形式新颖、喜闻乐见的普法产品，开展针对性、精准式普法，切实提高残疾人在普法活动中的参与感、体验感、获得感。</w:t>
      </w:r>
    </w:p>
    <w:p w14:paraId="7FAB223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color w:val="000000" w:themeColor="text1"/>
          <w:spacing w:val="0"/>
          <w:w w:val="100"/>
          <w:sz w:val="32"/>
          <w:szCs w:val="32"/>
          <w:lang w:eastAsia="zh-CN"/>
          <w14:textFill>
            <w14:solidFill>
              <w14:schemeClr w14:val="tx1"/>
            </w14:solidFill>
          </w14:textFill>
        </w:rPr>
      </w:pPr>
      <w:r>
        <w:rPr>
          <w:rFonts w:hint="eastAsia" w:ascii="楷体_GB2312" w:hAnsi="楷体_GB2312" w:eastAsia="楷体_GB2312" w:cs="楷体_GB2312"/>
          <w:color w:val="000000" w:themeColor="text1"/>
          <w:spacing w:val="0"/>
          <w:w w:val="100"/>
          <w:sz w:val="32"/>
          <w:szCs w:val="32"/>
          <w14:textFill>
            <w14:solidFill>
              <w14:schemeClr w14:val="tx1"/>
            </w14:solidFill>
          </w14:textFill>
        </w:rPr>
        <w:t>（五）</w:t>
      </w:r>
      <w:r>
        <w:rPr>
          <w:rFonts w:hint="eastAsia" w:ascii="楷体_GB2312" w:hAnsi="楷体_GB2312" w:eastAsia="楷体_GB2312" w:cs="楷体_GB2312"/>
          <w:color w:val="000000" w:themeColor="text1"/>
          <w:spacing w:val="0"/>
          <w:w w:val="100"/>
          <w:kern w:val="2"/>
          <w:sz w:val="32"/>
          <w:szCs w:val="32"/>
          <w:lang w:val="zh-CN" w:eastAsia="zh-CN" w:bidi="zh-CN"/>
          <w14:textFill>
            <w14:solidFill>
              <w14:schemeClr w14:val="tx1"/>
            </w14:solidFill>
          </w14:textFill>
        </w:rPr>
        <w:t>继续开展残疾人尊法学法守法用法专项行动</w:t>
      </w:r>
      <w:r>
        <w:rPr>
          <w:rFonts w:hint="eastAsia" w:ascii="楷体_GB2312" w:hAnsi="楷体_GB2312" w:eastAsia="楷体_GB2312" w:cs="楷体_GB2312"/>
          <w:color w:val="000000" w:themeColor="text1"/>
          <w:spacing w:val="0"/>
          <w:w w:val="100"/>
          <w:sz w:val="32"/>
          <w:szCs w:val="32"/>
          <w14:textFill>
            <w14:solidFill>
              <w14:schemeClr w14:val="tx1"/>
            </w14:solidFill>
          </w14:textFill>
        </w:rPr>
        <w:t>。</w:t>
      </w:r>
      <w:r>
        <w:rPr>
          <w:rFonts w:hint="eastAsia" w:ascii="仿宋_GB2312" w:hAnsi="仿宋_GB2312" w:eastAsia="仿宋_GB2312" w:cs="仿宋_GB2312"/>
          <w:color w:val="000000" w:themeColor="text1"/>
          <w:spacing w:val="0"/>
          <w:w w:val="100"/>
          <w:sz w:val="32"/>
          <w:szCs w:val="32"/>
          <w14:textFill>
            <w14:solidFill>
              <w14:schemeClr w14:val="tx1"/>
            </w14:solidFill>
          </w14:textFill>
        </w:rPr>
        <w:t>各级残联要根据不同类别残疾人的特点，每年开展有针对性的法治宣传教育活动，促进残疾人形成办事依法、遇事找法、解决问题用法、化解矛盾靠法的法治思维和行为习惯。以法律“进残疾人家庭、进如康家园、进特教学校、进残疾人集中就业机构、进残疾人托养机构、进残疾人医疗康复机构、进残疾人专门协会”为重点，组织开展“残联法律七进”活动，让法律更加贴近残疾人的生产生活</w:t>
      </w:r>
      <w:r>
        <w:rPr>
          <w:rFonts w:hint="eastAsia" w:ascii="仿宋_GB2312" w:hAnsi="仿宋_GB2312" w:eastAsia="仿宋_GB2312" w:cs="仿宋_GB2312"/>
          <w:color w:val="000000" w:themeColor="text1"/>
          <w:spacing w:val="0"/>
          <w:w w:val="100"/>
          <w:sz w:val="32"/>
          <w:szCs w:val="32"/>
          <w:lang w:eastAsia="zh-CN"/>
          <w14:textFill>
            <w14:solidFill>
              <w14:schemeClr w14:val="tx1"/>
            </w14:solidFill>
          </w14:textFill>
        </w:rPr>
        <w:t>。</w:t>
      </w:r>
    </w:p>
    <w:p w14:paraId="3D4306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val="0"/>
        <w:autoSpaceDN w:val="0"/>
        <w:bidi w:val="0"/>
        <w:adjustRightInd/>
        <w:snapToGrid/>
        <w:spacing w:before="0" w:beforeAutospacing="0" w:after="0" w:afterAutospacing="0" w:line="560" w:lineRule="exact"/>
        <w:ind w:left="0" w:right="0" w:firstLine="640" w:firstLineChars="200"/>
        <w:jc w:val="both"/>
        <w:textAlignment w:val="auto"/>
        <w:rPr>
          <w:rFonts w:hint="eastAsia" w:ascii="黑体" w:hAnsi="黑体" w:eastAsia="黑体" w:cs="黑体"/>
          <w:i w:val="0"/>
          <w:iCs w:val="0"/>
          <w:caps w:val="0"/>
          <w:color w:val="000000" w:themeColor="text1"/>
          <w:spacing w:val="0"/>
          <w:w w:val="100"/>
          <w:sz w:val="32"/>
          <w:szCs w:val="32"/>
          <w:lang w:eastAsia="zh-CN"/>
          <w14:textFill>
            <w14:solidFill>
              <w14:schemeClr w14:val="tx1"/>
            </w14:solidFill>
          </w14:textFill>
        </w:rPr>
      </w:pPr>
      <w:r>
        <w:rPr>
          <w:rFonts w:hint="eastAsia" w:ascii="黑体" w:hAnsi="黑体" w:eastAsia="黑体" w:cs="黑体"/>
          <w:i w:val="0"/>
          <w:iCs w:val="0"/>
          <w:caps w:val="0"/>
          <w:color w:val="000000" w:themeColor="text1"/>
          <w:spacing w:val="0"/>
          <w:w w:val="100"/>
          <w:sz w:val="32"/>
          <w:szCs w:val="32"/>
          <w:shd w:val="clear" w:fill="FFFFFF"/>
          <w:lang w:val="en-US" w:eastAsia="zh-CN"/>
          <w14:textFill>
            <w14:solidFill>
              <w14:schemeClr w14:val="tx1"/>
            </w14:solidFill>
          </w14:textFill>
        </w:rPr>
        <w:t>五</w:t>
      </w:r>
      <w:r>
        <w:rPr>
          <w:rFonts w:hint="eastAsia" w:ascii="黑体" w:hAnsi="黑体" w:eastAsia="黑体" w:cs="黑体"/>
          <w:i w:val="0"/>
          <w:iCs w:val="0"/>
          <w:caps w:val="0"/>
          <w:color w:val="000000" w:themeColor="text1"/>
          <w:spacing w:val="0"/>
          <w:w w:val="100"/>
          <w:sz w:val="32"/>
          <w:szCs w:val="32"/>
          <w:shd w:val="clear" w:fill="FFFFFF"/>
          <w14:textFill>
            <w14:solidFill>
              <w14:schemeClr w14:val="tx1"/>
            </w14:solidFill>
          </w14:textFill>
        </w:rPr>
        <w:t>、</w:t>
      </w:r>
      <w:r>
        <w:rPr>
          <w:rFonts w:hint="eastAsia" w:ascii="黑体" w:hAnsi="黑体" w:eastAsia="黑体" w:cs="黑体"/>
          <w:i w:val="0"/>
          <w:iCs w:val="0"/>
          <w:caps w:val="0"/>
          <w:color w:val="000000" w:themeColor="text1"/>
          <w:spacing w:val="0"/>
          <w:w w:val="100"/>
          <w:sz w:val="32"/>
          <w:szCs w:val="32"/>
          <w:shd w:val="clear" w:fill="FFFFFF"/>
          <w:lang w:val="en-US" w:eastAsia="zh-CN"/>
          <w14:textFill>
            <w14:solidFill>
              <w14:schemeClr w14:val="tx1"/>
            </w14:solidFill>
          </w14:textFill>
        </w:rPr>
        <w:t>工作要求</w:t>
      </w:r>
    </w:p>
    <w:p w14:paraId="48639D3B">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pPr>
      <w:r>
        <w:rPr>
          <w:rFonts w:hint="eastAsia" w:ascii="楷体_GB2312" w:hAnsi="楷体_GB2312" w:eastAsia="楷体_GB2312" w:cs="楷体_GB2312"/>
          <w:i w:val="0"/>
          <w:iCs w:val="0"/>
          <w:caps w:val="0"/>
          <w:color w:val="000000" w:themeColor="text1"/>
          <w:spacing w:val="0"/>
          <w:w w:val="100"/>
          <w:sz w:val="32"/>
          <w:szCs w:val="32"/>
          <w:shd w:val="clear" w:fill="FFFFFF"/>
          <w14:textFill>
            <w14:solidFill>
              <w14:schemeClr w14:val="tx1"/>
            </w14:solidFill>
          </w14:textFill>
        </w:rPr>
        <w:t>（一）加强组织领导。</w:t>
      </w:r>
      <w:r>
        <w:rPr>
          <w:color w:val="000000" w:themeColor="text1"/>
          <w:spacing w:val="0"/>
          <w:w w:val="100"/>
          <w:sz w:val="32"/>
          <w14:textFill>
            <w14:solidFill>
              <w14:schemeClr w14:val="tx1"/>
            </w14:solidFill>
          </w14:textFill>
        </w:rPr>
        <w:t>各</w:t>
      </w:r>
      <w:r>
        <w:rPr>
          <w:rFonts w:hint="eastAsia"/>
          <w:color w:val="000000" w:themeColor="text1"/>
          <w:spacing w:val="0"/>
          <w:w w:val="100"/>
          <w:sz w:val="32"/>
          <w:lang w:val="en-US" w:eastAsia="zh-CN"/>
          <w14:textFill>
            <w14:solidFill>
              <w14:schemeClr w14:val="tx1"/>
            </w14:solidFill>
          </w14:textFill>
        </w:rPr>
        <w:t>级</w:t>
      </w:r>
      <w:r>
        <w:rPr>
          <w:color w:val="000000" w:themeColor="text1"/>
          <w:spacing w:val="0"/>
          <w:w w:val="100"/>
          <w:sz w:val="32"/>
          <w14:textFill>
            <w14:solidFill>
              <w14:schemeClr w14:val="tx1"/>
            </w14:solidFill>
          </w14:textFill>
        </w:rPr>
        <w:t>残联要高度重视法治宣传教育工作，将其纳入年度重点工作进行部署安排。建立法治宣传教育工作领导机构，明确工作职责和具体责任人，全面落实“谁执法谁普法”、“谁服务谁普法”责任制。党组、理事会要定期听取法治宣传教育工作情况汇报，主要负责人应当严格履行推进法治建设第一责任人职责，及时研究解决有关问题。</w:t>
      </w:r>
    </w:p>
    <w:p w14:paraId="3563B669">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i w:val="0"/>
          <w:iCs w:val="0"/>
          <w:caps w:val="0"/>
          <w:color w:val="000000" w:themeColor="text1"/>
          <w:spacing w:val="0"/>
          <w:w w:val="100"/>
          <w:sz w:val="32"/>
          <w:szCs w:val="32"/>
          <w:shd w:val="clear" w:fill="FFFFFF"/>
          <w14:textFill>
            <w14:solidFill>
              <w14:schemeClr w14:val="tx1"/>
            </w14:solidFill>
          </w14:textFill>
        </w:rPr>
      </w:pPr>
      <w:r>
        <w:rPr>
          <w:rFonts w:hint="eastAsia" w:ascii="楷体_GB2312" w:hAnsi="楷体_GB2312" w:eastAsia="楷体_GB2312" w:cs="楷体_GB2312"/>
          <w:i w:val="0"/>
          <w:iCs w:val="0"/>
          <w:caps w:val="0"/>
          <w:color w:val="000000" w:themeColor="text1"/>
          <w:spacing w:val="0"/>
          <w:w w:val="100"/>
          <w:kern w:val="0"/>
          <w:sz w:val="32"/>
          <w:szCs w:val="32"/>
          <w:shd w:val="clear" w:fill="FFFFFF"/>
          <w:lang w:val="en-US" w:eastAsia="zh-CN" w:bidi="ar"/>
          <w14:textFill>
            <w14:solidFill>
              <w14:schemeClr w14:val="tx1"/>
            </w14:solidFill>
          </w14:textFill>
        </w:rPr>
        <w:t>（二）落实经费保障。</w:t>
      </w:r>
      <w:r>
        <w:rPr>
          <w:rFonts w:hint="eastAsia" w:ascii="仿宋_GB2312" w:hAnsi="仿宋_GB2312" w:eastAsia="仿宋_GB2312" w:cs="仿宋_GB2312"/>
          <w:i w:val="0"/>
          <w:iCs w:val="0"/>
          <w:caps w:val="0"/>
          <w:color w:val="000000" w:themeColor="text1"/>
          <w:spacing w:val="0"/>
          <w:w w:val="100"/>
          <w:kern w:val="0"/>
          <w:sz w:val="32"/>
          <w:szCs w:val="32"/>
          <w:shd w:val="clear" w:fill="FFFFFF"/>
          <w:lang w:val="en-US" w:eastAsia="zh-CN" w:bidi="ar"/>
          <w14:textFill>
            <w14:solidFill>
              <w14:schemeClr w14:val="tx1"/>
            </w14:solidFill>
          </w14:textFill>
        </w:rPr>
        <w:t>各</w:t>
      </w:r>
      <w:r>
        <w:rPr>
          <w:rFonts w:hint="eastAsia" w:cs="仿宋_GB2312"/>
          <w:i w:val="0"/>
          <w:iCs w:val="0"/>
          <w:caps w:val="0"/>
          <w:color w:val="000000" w:themeColor="text1"/>
          <w:spacing w:val="0"/>
          <w:w w:val="100"/>
          <w:kern w:val="0"/>
          <w:sz w:val="32"/>
          <w:szCs w:val="32"/>
          <w:shd w:val="clear" w:fill="FFFFFF"/>
          <w:lang w:val="en-US" w:eastAsia="zh-CN" w:bidi="ar"/>
          <w14:textFill>
            <w14:solidFill>
              <w14:schemeClr w14:val="tx1"/>
            </w14:solidFill>
          </w14:textFill>
        </w:rPr>
        <w:t>级</w:t>
      </w:r>
      <w:r>
        <w:rPr>
          <w:rFonts w:hint="eastAsia" w:ascii="仿宋_GB2312" w:hAnsi="仿宋_GB2312" w:eastAsia="仿宋_GB2312" w:cs="仿宋_GB2312"/>
          <w:i w:val="0"/>
          <w:iCs w:val="0"/>
          <w:caps w:val="0"/>
          <w:color w:val="000000" w:themeColor="text1"/>
          <w:spacing w:val="0"/>
          <w:w w:val="100"/>
          <w:kern w:val="0"/>
          <w:sz w:val="32"/>
          <w:szCs w:val="32"/>
          <w:shd w:val="clear" w:fill="FFFFFF"/>
          <w:lang w:val="en-US" w:eastAsia="zh-CN" w:bidi="ar"/>
          <w14:textFill>
            <w14:solidFill>
              <w14:schemeClr w14:val="tx1"/>
            </w14:solidFill>
          </w14:textFill>
        </w:rPr>
        <w:t>残联要积极争取把法治宣传教育工作经费纳入本级财政预算，切实予以保障。通过政府购买服务形式，组织法律专业人员为残疾人提供专业化的普法服务。鼓励引导社会资金广泛参与法治宣传教育工作。</w:t>
      </w:r>
    </w:p>
    <w:p w14:paraId="7266B96C">
      <w:pPr>
        <w:pStyle w:val="3"/>
        <w:keepNext w:val="0"/>
        <w:keepLines w:val="0"/>
        <w:pageBreakBefore w:val="0"/>
        <w:kinsoku/>
        <w:wordWrap/>
        <w:overflowPunct/>
        <w:topLinePunct w:val="0"/>
        <w:autoSpaceDE w:val="0"/>
        <w:autoSpaceDN w:val="0"/>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color w:val="000000" w:themeColor="text1"/>
          <w:spacing w:val="0"/>
          <w:w w:val="100"/>
          <w:sz w:val="32"/>
          <w:szCs w:val="32"/>
          <w14:textFill>
            <w14:solidFill>
              <w14:schemeClr w14:val="tx1"/>
            </w14:solidFill>
          </w14:textFill>
        </w:rPr>
      </w:pPr>
      <w:r>
        <w:rPr>
          <w:rFonts w:hint="eastAsia" w:ascii="楷体_GB2312" w:hAnsi="楷体_GB2312" w:eastAsia="楷体_GB2312" w:cs="楷体_GB2312"/>
          <w:i w:val="0"/>
          <w:iCs w:val="0"/>
          <w:caps w:val="0"/>
          <w:color w:val="000000" w:themeColor="text1"/>
          <w:spacing w:val="0"/>
          <w:w w:val="100"/>
          <w:sz w:val="32"/>
          <w:szCs w:val="32"/>
          <w:shd w:val="clear" w:fill="FFFFFF"/>
          <w14:textFill>
            <w14:solidFill>
              <w14:schemeClr w14:val="tx1"/>
            </w14:solidFill>
          </w14:textFill>
        </w:rPr>
        <w:t>（</w:t>
      </w:r>
      <w:r>
        <w:rPr>
          <w:rFonts w:hint="eastAsia" w:ascii="楷体_GB2312" w:hAnsi="楷体_GB2312" w:eastAsia="楷体_GB2312" w:cs="楷体_GB2312"/>
          <w:i w:val="0"/>
          <w:iCs w:val="0"/>
          <w:caps w:val="0"/>
          <w:color w:val="000000" w:themeColor="text1"/>
          <w:spacing w:val="0"/>
          <w:w w:val="100"/>
          <w:sz w:val="32"/>
          <w:szCs w:val="32"/>
          <w:shd w:val="clear" w:fill="FFFFFF"/>
          <w:lang w:eastAsia="zh-CN"/>
          <w14:textFill>
            <w14:solidFill>
              <w14:schemeClr w14:val="tx1"/>
            </w14:solidFill>
          </w14:textFill>
        </w:rPr>
        <w:t>三</w:t>
      </w:r>
      <w:r>
        <w:rPr>
          <w:rFonts w:hint="eastAsia" w:ascii="楷体_GB2312" w:hAnsi="楷体_GB2312" w:eastAsia="楷体_GB2312" w:cs="楷体_GB2312"/>
          <w:i w:val="0"/>
          <w:iCs w:val="0"/>
          <w:caps w:val="0"/>
          <w:color w:val="000000" w:themeColor="text1"/>
          <w:spacing w:val="0"/>
          <w:w w:val="100"/>
          <w:sz w:val="32"/>
          <w:szCs w:val="32"/>
          <w:shd w:val="clear" w:fill="FFFFFF"/>
          <w14:textFill>
            <w14:solidFill>
              <w14:schemeClr w14:val="tx1"/>
            </w14:solidFill>
          </w14:textFill>
        </w:rPr>
        <w:t>）</w:t>
      </w:r>
      <w:r>
        <w:rPr>
          <w:rFonts w:hint="eastAsia" w:ascii="楷体_GB2312" w:hAnsi="楷体_GB2312" w:eastAsia="楷体_GB2312" w:cs="楷体_GB2312"/>
          <w:color w:val="000000" w:themeColor="text1"/>
          <w:spacing w:val="0"/>
          <w:w w:val="100"/>
          <w:sz w:val="32"/>
          <w:szCs w:val="32"/>
          <w14:textFill>
            <w14:solidFill>
              <w14:schemeClr w14:val="tx1"/>
            </w14:solidFill>
          </w14:textFill>
        </w:rPr>
        <w:t>强化监督落实。</w:t>
      </w:r>
      <w:r>
        <w:rPr>
          <w:rFonts w:hint="eastAsia" w:ascii="仿宋_GB2312" w:hAnsi="仿宋_GB2312" w:eastAsia="仿宋_GB2312" w:cs="仿宋_GB2312"/>
          <w:color w:val="000000" w:themeColor="text1"/>
          <w:spacing w:val="0"/>
          <w:w w:val="100"/>
          <w:sz w:val="32"/>
          <w:szCs w:val="32"/>
          <w14:textFill>
            <w14:solidFill>
              <w14:schemeClr w14:val="tx1"/>
            </w14:solidFill>
          </w14:textFill>
        </w:rPr>
        <w:t>建立年度报告制度，于每年 12 月底报送年度法治宣传教育工作开展情况。</w:t>
      </w:r>
      <w:r>
        <w:rPr>
          <w:rFonts w:hint="eastAsia" w:cs="仿宋_GB2312"/>
          <w:color w:val="000000" w:themeColor="text1"/>
          <w:spacing w:val="0"/>
          <w:w w:val="100"/>
          <w:sz w:val="32"/>
          <w:szCs w:val="32"/>
          <w:lang w:val="en-US" w:eastAsia="zh-CN"/>
          <w14:textFill>
            <w14:solidFill>
              <w14:schemeClr w14:val="tx1"/>
            </w14:solidFill>
          </w14:textFill>
        </w:rPr>
        <w:t>市</w:t>
      </w:r>
      <w:r>
        <w:rPr>
          <w:rFonts w:hint="eastAsia" w:ascii="仿宋_GB2312" w:hAnsi="仿宋_GB2312" w:eastAsia="仿宋_GB2312" w:cs="仿宋_GB2312"/>
          <w:color w:val="000000" w:themeColor="text1"/>
          <w:spacing w:val="0"/>
          <w:w w:val="100"/>
          <w:sz w:val="32"/>
          <w:szCs w:val="32"/>
          <w14:textFill>
            <w14:solidFill>
              <w14:schemeClr w14:val="tx1"/>
            </w14:solidFill>
          </w14:textFill>
        </w:rPr>
        <w:t>残联将根据要求组织开展本规划实施情况的评估工作，并择优推荐普法工作先进单位和先进个人。</w:t>
      </w:r>
    </w:p>
    <w:p w14:paraId="67BDC612">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仿宋_GB2312" w:hAnsi="仿宋_GB2312" w:eastAsia="仿宋_GB2312" w:cs="仿宋_GB2312"/>
          <w:i w:val="0"/>
          <w:iCs w:val="0"/>
          <w:caps w:val="0"/>
          <w:color w:val="3D3D3D"/>
          <w:spacing w:val="0"/>
          <w:sz w:val="32"/>
          <w:szCs w:val="32"/>
        </w:rPr>
      </w:pPr>
    </w:p>
    <w:p w14:paraId="3B77898C">
      <w:pPr>
        <w:pStyle w:val="3"/>
        <w:rPr>
          <w:rFonts w:hint="eastAsia"/>
          <w:sz w:val="20"/>
          <w:lang w:val="en-US" w:eastAsia="zh-CN"/>
        </w:rPr>
      </w:pPr>
    </w:p>
    <w:p w14:paraId="09EC803A">
      <w:pPr>
        <w:pStyle w:val="3"/>
        <w:rPr>
          <w:rFonts w:hint="eastAsia"/>
          <w:sz w:val="20"/>
          <w:lang w:val="en-US" w:eastAsia="zh-CN"/>
        </w:rPr>
      </w:pPr>
    </w:p>
    <w:p w14:paraId="5B420293">
      <w:pPr>
        <w:pStyle w:val="3"/>
        <w:rPr>
          <w:sz w:val="20"/>
        </w:rPr>
      </w:pPr>
      <w:r>
        <w:rPr>
          <w:rFonts w:hint="eastAsia"/>
          <w:sz w:val="20"/>
          <w:lang w:val="en-US" w:eastAsia="zh-CN"/>
        </w:rPr>
        <w:t xml:space="preserve">                         </w:t>
      </w:r>
    </w:p>
    <w:p w14:paraId="6311FBC0">
      <w:pPr>
        <w:pStyle w:val="3"/>
        <w:rPr>
          <w:sz w:val="20"/>
        </w:rPr>
      </w:pPr>
    </w:p>
    <w:p w14:paraId="7F4C13E9">
      <w:pPr>
        <w:pStyle w:val="3"/>
        <w:rPr>
          <w:sz w:val="20"/>
        </w:rPr>
      </w:pPr>
    </w:p>
    <w:p w14:paraId="24A4FCDA">
      <w:pPr>
        <w:pStyle w:val="3"/>
        <w:spacing w:before="2"/>
        <w:rPr>
          <w:sz w:val="18"/>
        </w:rPr>
      </w:pPr>
    </w:p>
    <w:p w14:paraId="687CA237">
      <w:pPr>
        <w:pStyle w:val="3"/>
        <w:spacing w:before="52"/>
        <w:ind w:left="106"/>
        <w:rPr>
          <w:rFonts w:hint="eastAsia" w:ascii="宋体" w:eastAsia="宋体"/>
        </w:rPr>
      </w:pPr>
      <w:r>
        <w:rPr>
          <w:rFonts w:hint="eastAsia" w:ascii="仿宋_GB2312" w:hAnsi="仿宋_GB2312" w:eastAsia="仿宋_GB2312" w:cs="仿宋_GB2312"/>
        </w:rPr>
        <w:pict>
          <v:line id="_x0000_s1030" o:spid="_x0000_s1030" o:spt="20" style="position:absolute;left:0pt;margin-left:79.3pt;margin-top:24.6pt;height:0pt;width:442.2pt;mso-position-horizontal-relative:page;mso-wrap-distance-bottom:0pt;mso-wrap-distance-top:0pt;z-index:-251653120;mso-width-relative:page;mso-height-relative:page;" stroked="t" coordsize="21600,21600">
            <v:path arrowok="t"/>
            <v:fill focussize="0,0"/>
            <v:stroke weight="0.48pt" color="#000000"/>
            <v:imagedata o:title=""/>
            <o:lock v:ext="edit"/>
            <w10:wrap type="topAndBottom"/>
          </v:line>
        </w:pict>
      </w:r>
      <w:r>
        <w:rPr>
          <w:rFonts w:hint="eastAsia" w:ascii="仿宋_GB2312" w:hAnsi="仿宋_GB2312" w:eastAsia="仿宋_GB2312" w:cs="仿宋_GB2312"/>
        </w:rPr>
        <w:t>（信息公开形式：主动公开）</w:t>
      </w:r>
    </w:p>
    <w:p w14:paraId="786895B9">
      <w:pPr>
        <w:tabs>
          <w:tab w:val="left" w:pos="5885"/>
        </w:tabs>
        <w:spacing w:before="110" w:after="138"/>
        <w:ind w:left="425" w:right="0" w:firstLine="0"/>
        <w:jc w:val="left"/>
        <w:rPr>
          <w:sz w:val="28"/>
        </w:rPr>
      </w:pPr>
      <w:r>
        <w:rPr>
          <w:rFonts w:hint="eastAsia"/>
          <w:sz w:val="28"/>
          <w:lang w:eastAsia="zh-CN"/>
        </w:rPr>
        <w:t>威海市</w:t>
      </w:r>
      <w:r>
        <w:rPr>
          <w:sz w:val="28"/>
        </w:rPr>
        <w:t>残</w:t>
      </w:r>
      <w:r>
        <w:rPr>
          <w:spacing w:val="-3"/>
          <w:sz w:val="28"/>
        </w:rPr>
        <w:t>疾</w:t>
      </w:r>
      <w:r>
        <w:rPr>
          <w:sz w:val="28"/>
        </w:rPr>
        <w:t>人联</w:t>
      </w:r>
      <w:r>
        <w:rPr>
          <w:spacing w:val="-3"/>
          <w:sz w:val="28"/>
        </w:rPr>
        <w:t>合</w:t>
      </w:r>
      <w:r>
        <w:rPr>
          <w:sz w:val="28"/>
        </w:rPr>
        <w:t>会办</w:t>
      </w:r>
      <w:r>
        <w:rPr>
          <w:spacing w:val="-3"/>
          <w:sz w:val="28"/>
        </w:rPr>
        <w:t>公</w:t>
      </w:r>
      <w:r>
        <w:rPr>
          <w:sz w:val="28"/>
        </w:rPr>
        <w:t>室</w:t>
      </w:r>
      <w:r>
        <w:rPr>
          <w:sz w:val="28"/>
        </w:rPr>
        <w:tab/>
      </w:r>
      <w:r>
        <w:rPr>
          <w:sz w:val="28"/>
        </w:rPr>
        <w:t>2022</w:t>
      </w:r>
      <w:r>
        <w:rPr>
          <w:spacing w:val="-72"/>
          <w:sz w:val="28"/>
        </w:rPr>
        <w:t xml:space="preserve"> </w:t>
      </w:r>
      <w:r>
        <w:rPr>
          <w:sz w:val="28"/>
        </w:rPr>
        <w:t>年</w:t>
      </w:r>
      <w:r>
        <w:rPr>
          <w:spacing w:val="-71"/>
          <w:sz w:val="28"/>
        </w:rPr>
        <w:t xml:space="preserve"> </w:t>
      </w:r>
      <w:r>
        <w:rPr>
          <w:rFonts w:hint="eastAsia"/>
          <w:sz w:val="28"/>
          <w:lang w:val="en-US" w:eastAsia="zh-CN"/>
        </w:rPr>
        <w:t>6</w:t>
      </w:r>
      <w:r>
        <w:rPr>
          <w:sz w:val="28"/>
        </w:rPr>
        <w:t>月</w:t>
      </w:r>
      <w:r>
        <w:rPr>
          <w:spacing w:val="-73"/>
          <w:sz w:val="28"/>
        </w:rPr>
        <w:t xml:space="preserve"> </w:t>
      </w:r>
      <w:r>
        <w:rPr>
          <w:rFonts w:hint="eastAsia"/>
          <w:sz w:val="28"/>
          <w:lang w:val="en-US" w:eastAsia="zh-CN"/>
        </w:rPr>
        <w:t>14</w:t>
      </w:r>
      <w:r>
        <w:rPr>
          <w:sz w:val="28"/>
        </w:rPr>
        <w:t>日</w:t>
      </w:r>
      <w:r>
        <w:rPr>
          <w:spacing w:val="-3"/>
          <w:sz w:val="28"/>
        </w:rPr>
        <w:t>印</w:t>
      </w:r>
      <w:r>
        <w:rPr>
          <w:sz w:val="28"/>
        </w:rPr>
        <w:t>发</w:t>
      </w:r>
    </w:p>
    <w:p w14:paraId="2DCEEECF">
      <w:pPr>
        <w:pStyle w:val="3"/>
        <w:spacing w:line="20" w:lineRule="exact"/>
        <w:ind w:left="102"/>
        <w:rPr>
          <w:sz w:val="2"/>
        </w:rPr>
      </w:pPr>
      <w:r>
        <w:rPr>
          <w:sz w:val="2"/>
        </w:rPr>
        <w:pict>
          <v:group id="_x0000_s1031" o:spid="_x0000_s1031" o:spt="203" style="height:0.5pt;width:442.2pt;" coordsize="8844,10">
            <o:lock v:ext="edit"/>
            <v:line id="_x0000_s1032" o:spid="_x0000_s1032" o:spt="20" style="position:absolute;left:0;top:5;height:0;width:8844;" stroked="t" coordsize="21600,21600">
              <v:path arrowok="t"/>
              <v:fill focussize="0,0"/>
              <v:stroke weight="0.48pt" color="#000000"/>
              <v:imagedata o:title=""/>
              <o:lock v:ext="edit"/>
            </v:line>
            <w10:wrap type="none"/>
            <w10:anchorlock/>
          </v:group>
        </w:pict>
      </w:r>
    </w:p>
    <w:p w14:paraId="785E4D8F">
      <w:pPr>
        <w:pStyle w:val="3"/>
        <w:spacing w:line="20" w:lineRule="exact"/>
        <w:ind w:left="102"/>
        <w:rPr>
          <w:sz w:val="2"/>
        </w:rPr>
      </w:pPr>
    </w:p>
    <w:sectPr>
      <w:pgSz w:w="11910" w:h="16840"/>
      <w:pgMar w:top="1701" w:right="1474" w:bottom="1701" w:left="1587" w:header="0" w:footer="150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宋体"/>
    <w:panose1 w:val="02010609060101010101"/>
    <w:charset w:val="86"/>
    <w:family w:val="auto"/>
    <w:pitch w:val="default"/>
    <w:sig w:usb0="00000000" w:usb1="00000000" w:usb2="00000016" w:usb3="00000000" w:csb0="00040001"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6BE52">
    <w:pPr>
      <w:pStyle w:val="3"/>
      <w:spacing w:line="14" w:lineRule="auto"/>
      <w:rPr>
        <w:sz w:val="20"/>
      </w:rPr>
    </w:pPr>
    <w:r>
      <w:pict>
        <v:shape id="_x0000_s2049" o:spid="_x0000_s2049" o:spt="202" type="#_x0000_t202" style="position:absolute;left:0pt;margin-left:471.3pt;margin-top:755.55pt;height:16.2pt;width:51.1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14:paraId="71127816">
                <w:pPr>
                  <w:spacing w:before="0" w:line="323" w:lineRule="exact"/>
                  <w:ind w:left="20" w:right="0" w:firstLine="0"/>
                  <w:jc w:val="left"/>
                  <w:rPr>
                    <w:rFonts w:ascii="宋体" w:hAnsi="宋体"/>
                    <w:sz w:val="28"/>
                  </w:rPr>
                </w:pPr>
                <w:r>
                  <w:rPr>
                    <w:rFonts w:ascii="宋体" w:hAnsi="宋体"/>
                    <w:sz w:val="28"/>
                  </w:rPr>
                  <w:t xml:space="preserve">— </w:t>
                </w:r>
                <w:r>
                  <w:fldChar w:fldCharType="begin"/>
                </w:r>
                <w:r>
                  <w:rPr>
                    <w:rFonts w:ascii="宋体" w:hAnsi="宋体"/>
                    <w:sz w:val="28"/>
                  </w:rPr>
                  <w:instrText xml:space="preserve"> PAGE </w:instrText>
                </w:r>
                <w:r>
                  <w:fldChar w:fldCharType="separate"/>
                </w:r>
                <w:r>
                  <w:t>1</w:t>
                </w:r>
                <w:r>
                  <w:fldChar w:fldCharType="end"/>
                </w:r>
                <w:r>
                  <w:rPr>
                    <w:rFonts w:ascii="宋体" w:hAnsi="宋体"/>
                    <w:sz w:val="28"/>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6791D">
    <w:pPr>
      <w:pStyle w:val="3"/>
      <w:spacing w:line="14" w:lineRule="auto"/>
      <w:rPr>
        <w:sz w:val="20"/>
      </w:rPr>
    </w:pPr>
    <w:r>
      <w:pict>
        <v:shape id="_x0000_s2050" o:spid="_x0000_s2050" o:spt="202" type="#_x0000_t202" style="position:absolute;left:0pt;margin-left:78.55pt;margin-top:755.55pt;height:16.2pt;width:51.1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6DAF35C8">
                <w:pPr>
                  <w:spacing w:before="0" w:line="323" w:lineRule="exact"/>
                  <w:ind w:left="20" w:right="0" w:firstLine="0"/>
                  <w:jc w:val="left"/>
                  <w:rPr>
                    <w:rFonts w:ascii="宋体" w:hAnsi="宋体"/>
                    <w:sz w:val="28"/>
                  </w:rPr>
                </w:pPr>
                <w:r>
                  <w:rPr>
                    <w:rFonts w:ascii="宋体" w:hAnsi="宋体"/>
                    <w:sz w:val="28"/>
                  </w:rPr>
                  <w:t xml:space="preserve">— </w:t>
                </w:r>
                <w:r>
                  <w:fldChar w:fldCharType="begin"/>
                </w:r>
                <w:r>
                  <w:rPr>
                    <w:rFonts w:ascii="宋体" w:hAnsi="宋体"/>
                    <w:sz w:val="28"/>
                  </w:rPr>
                  <w:instrText xml:space="preserve"> PAGE </w:instrText>
                </w:r>
                <w:r>
                  <w:fldChar w:fldCharType="separate"/>
                </w:r>
                <w:r>
                  <w:t>2</w:t>
                </w:r>
                <w:r>
                  <w:fldChar w:fldCharType="end"/>
                </w:r>
                <w:r>
                  <w:rPr>
                    <w:rFonts w:ascii="宋体" w:hAnsi="宋体"/>
                    <w:sz w:val="28"/>
                  </w:rPr>
                  <w:t xml:space="preserve"> —</w:t>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10D22096"/>
    <w:rsid w:val="175441EE"/>
    <w:rsid w:val="3F1A5068"/>
    <w:rsid w:val="5CF77BF7"/>
    <w:rsid w:val="637D731B"/>
    <w:rsid w:val="EEB9CC0F"/>
    <w:rsid w:val="F3FBED5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仿宋_GB2312" w:hAnsi="仿宋_GB2312" w:eastAsia="仿宋_GB2312" w:cs="仿宋_GB2312"/>
      <w:sz w:val="22"/>
      <w:szCs w:val="22"/>
      <w:lang w:val="zh-CN" w:eastAsia="zh-CN" w:bidi="zh-CN"/>
    </w:rPr>
  </w:style>
  <w:style w:type="paragraph" w:styleId="2">
    <w:name w:val="heading 1"/>
    <w:basedOn w:val="1"/>
    <w:next w:val="1"/>
    <w:qFormat/>
    <w:uiPriority w:val="1"/>
    <w:pPr>
      <w:ind w:left="569" w:right="734"/>
      <w:outlineLvl w:val="1"/>
    </w:pPr>
    <w:rPr>
      <w:rFonts w:ascii="方正小标宋简体" w:hAnsi="方正小标宋简体" w:eastAsia="方正小标宋简体" w:cs="方正小标宋简体"/>
      <w:sz w:val="44"/>
      <w:szCs w:val="44"/>
      <w:lang w:val="zh-CN" w:eastAsia="zh-CN" w:bidi="zh-CN"/>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_GB2312" w:hAnsi="仿宋_GB2312" w:eastAsia="仿宋_GB2312" w:cs="仿宋_GB2312"/>
      <w:sz w:val="32"/>
      <w:szCs w:val="32"/>
      <w:lang w:val="zh-CN" w:eastAsia="zh-CN" w:bidi="zh-CN"/>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rPr>
      <w:lang w:val="zh-CN" w:eastAsia="zh-CN" w:bidi="zh-CN"/>
    </w:rPr>
  </w:style>
  <w:style w:type="paragraph" w:customStyle="1" w:styleId="10">
    <w:name w:val="Table Paragraph"/>
    <w:basedOn w:val="1"/>
    <w:qFormat/>
    <w:uiPriority w:val="1"/>
    <w:rPr>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0"/>
    <customShpInfo spid="_x0000_s1026"/>
    <customShpInfo spid="_x0000_s1030"/>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TotalTime>23</TotalTime>
  <ScaleCrop>false</ScaleCrop>
  <LinksUpToDate>false</LinksUpToDate>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2022-06-07T00:56:00Z</dcterms:created>
  <dc:creator>Windows 用户</dc:creator>
  <cp:lastModifiedBy>吴溪</cp:lastModifiedBy>
  <cp:lastPrinted>2022-06-14T18:01:00Z</cp:lastPrinted>
  <dcterms:modified xsi:type="dcterms:W3CDTF">2025-03-28T08:45:34Z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2022-03-09T00:00:00Z</vt:filetime>
  </property>
  <property fmtid="{D5CDD505-2E9C-101B-9397-08002B2CF9AE}" pid="3" name="Creator">
    <vt:lpwstr>WPS 文字</vt:lpwstr>
  </property>
  <property fmtid="{D5CDD505-2E9C-101B-9397-08002B2CF9AE}" pid="4" name="LastSaved">
    <vt:filetime>2022-06-06T00:00:00Z</vt:filetime>
  </property>
  <property fmtid="{D5CDD505-2E9C-101B-9397-08002B2CF9AE}" pid="5" name="KSOProductBuildVer">
    <vt:lpwstr>2052-12.8.2.1119</vt:lpwstr>
  </property>
  <property fmtid="{D5CDD505-2E9C-101B-9397-08002B2CF9AE}" pid="6" name="ICV">
    <vt:lpwstr>F7A52763460F10889EEEE567B90594D0_42</vt:lpwstr>
  </property>
</Properties>
</file>