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53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我市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中央专项彩票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金</w:t>
      </w:r>
    </w:p>
    <w:p w14:paraId="6BC2A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使用情况</w:t>
      </w:r>
    </w:p>
    <w:p w14:paraId="6FEFE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92F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根据财政部、中国残联关于印发《中央财政残疾人事业发展资金管理办法》的通知（财社〔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〕27号）要求，现对我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中央专项彩票金安排残疾人事业发展补助资金使用情况说明如下。</w:t>
      </w:r>
    </w:p>
    <w:p w14:paraId="37CEA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一、项目总体情况及支出内容</w:t>
      </w:r>
    </w:p>
    <w:p w14:paraId="20DD429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年中央财政共下达我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中央专项彩票公益金1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按照规定统筹用于残疾儿童康复救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助及早期干预试点、困难重度残疾人家庭无障碍改造、残疾人文化服务、残疾人康复和托养机构设备补助等方面支出。</w:t>
      </w:r>
    </w:p>
    <w:p w14:paraId="739101E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因素分配法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级及时将资金下达到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直有关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及各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，其中：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环翠区残联34.96万元，文登区残联24.27万元，荣成市残联36.14万元，乳山市残联22.14万元，高区残联21.41万元，经区残联17.84万元，临港区残联13.24万元。</w:t>
      </w:r>
    </w:p>
    <w:p w14:paraId="00679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二、项目资金执行情况</w:t>
      </w:r>
    </w:p>
    <w:p w14:paraId="49C0E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截至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年12月31日，残疾人事业发展补助专项彩票公益金执行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146.96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，执行率达到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86.45%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8B7C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将继续做好三方面工作：一是继续深化与各级财政部门的沟通配合，压实资金管理主体责任，统筹谋划各类支出安排；二是抓实项目实施管理，推动项目提速增效，确保资金及时拨付、高效使用；三是多措并举，对执行不力的区市强化督导，切实做到资金支付速度与质量并重。</w:t>
      </w:r>
    </w:p>
    <w:p w14:paraId="2899C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三、总体绩效目标完成情况</w:t>
      </w:r>
    </w:p>
    <w:p w14:paraId="472F2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对照残疾人事业发展补助中央转移支付资金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年度绩效总体目标，我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基本</w:t>
      </w:r>
      <w:r>
        <w:rPr>
          <w:rFonts w:hint="eastAsia" w:ascii="仿宋_GB2312" w:hAnsi="仿宋_GB2312" w:eastAsia="仿宋_GB2312" w:cs="仿宋_GB2312"/>
          <w:sz w:val="32"/>
          <w:szCs w:val="32"/>
        </w:rPr>
        <w:t>全部完成，具体情况如下：</w:t>
      </w:r>
    </w:p>
    <w:p w14:paraId="2E7D9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年度内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139</w:t>
      </w:r>
      <w:r>
        <w:rPr>
          <w:rFonts w:hint="eastAsia" w:ascii="仿宋_GB2312" w:hAnsi="仿宋_GB2312" w:eastAsia="仿宋_GB2312" w:cs="仿宋_GB2312"/>
          <w:sz w:val="32"/>
          <w:szCs w:val="32"/>
        </w:rPr>
        <w:t>名残疾儿童进行康复救助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显著改善儿童功能状况，增强自理和社会参与能力，实现“应救尽救”。</w:t>
      </w:r>
    </w:p>
    <w:p w14:paraId="2F06E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.残疾人文化进社区完成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个，实施文化进残疾人家庭“五个一”159户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使残疾人就近就便参加文化活动，丰富了精神文化生活，提升了社会参与度和生活质量。</w:t>
      </w:r>
    </w:p>
    <w:p w14:paraId="2A3AC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四、下一步工作计划</w:t>
      </w:r>
    </w:p>
    <w:p w14:paraId="48286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威海市残联</w:t>
      </w:r>
      <w:r>
        <w:rPr>
          <w:rFonts w:hint="eastAsia" w:ascii="仿宋_GB2312" w:hAnsi="仿宋_GB2312" w:eastAsia="仿宋_GB2312" w:cs="仿宋_GB2312"/>
          <w:sz w:val="32"/>
          <w:szCs w:val="32"/>
        </w:rPr>
        <w:t>将继续做好三方面工作：一是进一步加强部门间的沟通和配合，强化基层财政管理，压实主体责任，统筹好各类支出安排；二是加强项目实施管理，加快项目进度，确保资金及时支付，提高资金使用效率；三是研究建立促进高质量发展的转移支付激励约束机制，采取多种措施对执行不力的地区加强督导。</w:t>
      </w:r>
    </w:p>
    <w:p w14:paraId="6DCE1E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</w:p>
    <w:sectPr>
      <w:pgSz w:w="11906" w:h="16838"/>
      <w:pgMar w:top="2098" w:right="1417" w:bottom="198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E94E36-E444-4E6E-A9D8-27E19D4A231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BF08E98-0D0A-4E85-BE38-CE48F7077E9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2B0B693-0672-4CEA-8AEB-140F8DDFE68D}"/>
  </w:font>
  <w:font w:name="方正小标宋简体">
    <w:panose1 w:val="02010600010101010101"/>
    <w:charset w:val="86"/>
    <w:family w:val="auto"/>
    <w:pitch w:val="default"/>
    <w:sig w:usb0="A00002BF" w:usb1="184F6CFA" w:usb2="00000012" w:usb3="00000000" w:csb0="00040001" w:csb1="00000000"/>
    <w:embedRegular r:id="rId4" w:fontKey="{C3CFF235-8C61-4294-8003-867B7EAE9C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B04057"/>
    <w:rsid w:val="119A5749"/>
    <w:rsid w:val="1990114D"/>
    <w:rsid w:val="21E645B7"/>
    <w:rsid w:val="2A335CCA"/>
    <w:rsid w:val="2B635671"/>
    <w:rsid w:val="38736649"/>
    <w:rsid w:val="3DA14E51"/>
    <w:rsid w:val="415B7B1D"/>
    <w:rsid w:val="42515D80"/>
    <w:rsid w:val="53303826"/>
    <w:rsid w:val="65257104"/>
    <w:rsid w:val="67D8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2026-09-14T01:17:55Z</dcterms:created>
  <dc:creator>Administrator</dc:creator>
  <cp:lastModifiedBy>Aegon</cp:lastModifiedBy>
  <cp:lastPrinted>2026-09-14T01:44:25Z</cp:lastPrinted>
  <dcterms:modified xsi:type="dcterms:W3CDTF">2026-09-14T01:46:32Z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eyJoZGlkIjoiMWE1ZTgwZWEwNDlhZTcyYWI3ZDM2OTI2ODJiNmM5NDYiLCJ1c2VySWQiOiIxMzM5OTU5MDAxIn0=</vt:lpwstr>
  </property>
  <property fmtid="{D5CDD505-2E9C-101B-9397-08002B2CF9AE}" pid="4" name="ICV">
    <vt:lpwstr>ACCB77011D7245BEB85BFB0065440E53_12</vt:lpwstr>
  </property>
</Properties>
</file>