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snapToGrid/>
        <w:spacing w:line="700" w:lineRule="exact"/>
        <w:ind w:left="0" w:firstLine="0" w:firstLineChars="0"/>
        <w:jc w:val="center"/>
        <w:textAlignment w:val="auto"/>
        <w:rPr>
          <w:rFonts w:hint="eastAsia" w:ascii="方正小标宋简体" w:hAnsi="方正小标宋简体" w:eastAsia="方正小标宋简体" w:cs="方正小标宋简体"/>
          <w:kern w:val="0"/>
          <w:sz w:val="44"/>
          <w:szCs w:val="44"/>
        </w:rPr>
      </w:pPr>
      <w:r>
        <w:rPr>
          <w:rFonts w:hint="eastAsia" w:ascii="方正小标宋简体" w:hAnsi="方正小标宋简体" w:eastAsia="方正小标宋简体" w:cs="方正小标宋简体"/>
          <w:kern w:val="0"/>
          <w:sz w:val="44"/>
          <w:szCs w:val="44"/>
        </w:rPr>
        <w:t>关于开展</w:t>
      </w:r>
      <w:r>
        <w:rPr>
          <w:rFonts w:hint="eastAsia" w:ascii="方正小标宋简体" w:hAnsi="方正小标宋简体" w:eastAsia="方正小标宋简体" w:cs="方正小标宋简体"/>
          <w:color w:val="000000" w:themeColor="text1"/>
          <w:kern w:val="0"/>
          <w:sz w:val="44"/>
          <w:szCs w:val="44"/>
        </w:rPr>
        <w:t>2022年度</w:t>
      </w:r>
      <w:r>
        <w:rPr>
          <w:rFonts w:hint="eastAsia" w:ascii="方正小标宋简体" w:hAnsi="方正小标宋简体" w:eastAsia="方正小标宋简体" w:cs="方正小标宋简体"/>
          <w:kern w:val="0"/>
          <w:sz w:val="44"/>
          <w:szCs w:val="44"/>
        </w:rPr>
        <w:t>用人单位按比例安排</w:t>
      </w:r>
    </w:p>
    <w:p>
      <w:pPr>
        <w:keepNext w:val="0"/>
        <w:keepLines w:val="0"/>
        <w:pageBreakBefore w:val="0"/>
        <w:widowControl w:val="0"/>
        <w:kinsoku/>
        <w:wordWrap/>
        <w:overflowPunct/>
        <w:topLinePunct w:val="0"/>
        <w:autoSpaceDE/>
        <w:autoSpaceDN/>
        <w:bidi w:val="0"/>
        <w:adjustRightInd/>
        <w:snapToGrid/>
        <w:spacing w:line="700" w:lineRule="exact"/>
        <w:ind w:left="0" w:firstLine="0" w:firstLineChars="0"/>
        <w:jc w:val="center"/>
        <w:textAlignment w:val="auto"/>
        <w:rPr>
          <w:rFonts w:hint="eastAsia" w:ascii="方正小标宋简体" w:hAnsi="方正小标宋简体" w:eastAsia="方正小标宋简体" w:cs="方正小标宋简体"/>
          <w:kern w:val="0"/>
          <w:sz w:val="44"/>
          <w:szCs w:val="44"/>
          <w:lang w:eastAsia="zh-CN"/>
        </w:rPr>
      </w:pPr>
      <w:r>
        <w:rPr>
          <w:rFonts w:hint="eastAsia" w:ascii="方正小标宋简体" w:hAnsi="方正小标宋简体" w:eastAsia="方正小标宋简体" w:cs="方正小标宋简体"/>
          <w:kern w:val="0"/>
          <w:sz w:val="44"/>
          <w:szCs w:val="44"/>
          <w:lang w:eastAsia="zh-CN"/>
        </w:rPr>
        <w:t>残疾</w:t>
      </w:r>
      <w:r>
        <w:rPr>
          <w:rFonts w:hint="eastAsia" w:ascii="方正小标宋简体" w:hAnsi="方正小标宋简体" w:eastAsia="方正小标宋简体" w:cs="方正小标宋简体"/>
          <w:kern w:val="0"/>
          <w:sz w:val="44"/>
          <w:szCs w:val="44"/>
        </w:rPr>
        <w:t>人就业审核认定工作的</w:t>
      </w:r>
      <w:r>
        <w:rPr>
          <w:rFonts w:hint="eastAsia" w:ascii="方正小标宋简体" w:hAnsi="方正小标宋简体" w:eastAsia="方正小标宋简体" w:cs="方正小标宋简体"/>
          <w:kern w:val="0"/>
          <w:sz w:val="44"/>
          <w:szCs w:val="44"/>
          <w:lang w:eastAsia="zh-CN"/>
        </w:rPr>
        <w:t>通告</w:t>
      </w:r>
    </w:p>
    <w:p>
      <w:pPr>
        <w:ind w:left="640" w:hanging="640" w:hangingChars="200"/>
        <w:rPr>
          <w:rFonts w:ascii="仿宋_GB2312" w:hAnsi="华文仿宋" w:eastAsia="仿宋_GB2312" w:cs="仿宋_GB2312"/>
          <w:sz w:val="32"/>
          <w:szCs w:val="32"/>
        </w:rPr>
      </w:pPr>
    </w:p>
    <w:p>
      <w:pPr>
        <w:ind w:left="640" w:hanging="640" w:hangingChars="200"/>
        <w:rPr>
          <w:rFonts w:ascii="仿宋_GB2312" w:hAnsi="华文仿宋" w:eastAsia="仿宋_GB2312" w:cs="仿宋_GB2312"/>
          <w:sz w:val="32"/>
          <w:szCs w:val="32"/>
        </w:rPr>
      </w:pPr>
      <w:r>
        <w:rPr>
          <w:rFonts w:hint="eastAsia" w:ascii="仿宋_GB2312" w:hAnsi="华文仿宋" w:eastAsia="仿宋_GB2312" w:cs="仿宋_GB2312"/>
          <w:sz w:val="32"/>
          <w:szCs w:val="32"/>
        </w:rPr>
        <w:t>各用人单位：</w:t>
      </w:r>
    </w:p>
    <w:p>
      <w:pPr>
        <w:ind w:firstLine="640" w:firstLineChars="200"/>
        <w:rPr>
          <w:rFonts w:ascii="仿宋_GB2312" w:hAnsi="华文仿宋" w:eastAsia="仿宋_GB2312" w:cs="仿宋_GB2312"/>
          <w:sz w:val="32"/>
          <w:szCs w:val="32"/>
        </w:rPr>
      </w:pPr>
      <w:r>
        <w:rPr>
          <w:rFonts w:hint="eastAsia" w:ascii="仿宋_GB2312" w:hAnsi="仿宋_GB2312" w:eastAsia="仿宋_GB2312" w:cs="仿宋_GB2312"/>
          <w:sz w:val="32"/>
          <w:szCs w:val="32"/>
        </w:rPr>
        <w:t>根据《中华人民共和国残疾人保障法》《残疾人就业条例》</w:t>
      </w:r>
      <w:r>
        <w:rPr>
          <w:rFonts w:hint="eastAsia" w:ascii="仿宋_GB2312" w:hAnsi="仿宋_GB2312" w:eastAsia="仿宋_GB2312" w:cs="仿宋_GB2312"/>
          <w:sz w:val="32"/>
          <w:szCs w:val="32"/>
          <w:lang w:eastAsia="zh-CN"/>
        </w:rPr>
        <w:t>和</w:t>
      </w:r>
      <w:r>
        <w:rPr>
          <w:rFonts w:hint="eastAsia" w:ascii="仿宋_GB2312" w:hAnsi="仿宋_GB2312" w:eastAsia="仿宋_GB2312" w:cs="仿宋_GB2312"/>
          <w:sz w:val="32"/>
          <w:szCs w:val="32"/>
        </w:rPr>
        <w:t>《关于印发山东</w:t>
      </w:r>
      <w:r>
        <w:rPr>
          <w:rFonts w:hint="eastAsia" w:ascii="仿宋_GB2312" w:hAnsi="华文仿宋" w:eastAsia="仿宋_GB2312" w:cs="仿宋_GB2312"/>
          <w:sz w:val="32"/>
          <w:szCs w:val="32"/>
        </w:rPr>
        <w:t>省残疾人就业保障金征收使用管理办法》（鲁财综[2018]31号）等法律法规的精神，按照中残联、省残联对“全国按比例安排残疾人就业情况联网认证”审核认定工作的部署要求，现将2022年</w:t>
      </w:r>
      <w:r>
        <w:rPr>
          <w:rFonts w:hint="eastAsia" w:ascii="仿宋_GB2312" w:hAnsi="华文仿宋" w:eastAsia="仿宋_GB2312" w:cs="仿宋_GB2312"/>
          <w:color w:val="000000" w:themeColor="text1"/>
          <w:sz w:val="32"/>
          <w:szCs w:val="32"/>
        </w:rPr>
        <w:t>度</w:t>
      </w:r>
      <w:r>
        <w:rPr>
          <w:rFonts w:hint="eastAsia" w:ascii="仿宋_GB2312" w:hAnsi="华文仿宋" w:eastAsia="仿宋_GB2312" w:cs="仿宋_GB2312"/>
          <w:sz w:val="32"/>
          <w:szCs w:val="32"/>
        </w:rPr>
        <w:t>用人单位按比例安排残疾人就业审核认定工作有关事项</w:t>
      </w:r>
      <w:r>
        <w:rPr>
          <w:rFonts w:hint="eastAsia" w:ascii="仿宋_GB2312" w:hAnsi="华文仿宋" w:eastAsia="仿宋_GB2312" w:cs="仿宋_GB2312"/>
          <w:sz w:val="32"/>
          <w:szCs w:val="32"/>
          <w:lang w:eastAsia="zh-CN"/>
        </w:rPr>
        <w:t>通告</w:t>
      </w:r>
      <w:r>
        <w:rPr>
          <w:rFonts w:hint="eastAsia" w:ascii="仿宋_GB2312" w:hAnsi="华文仿宋" w:eastAsia="仿宋_GB2312" w:cs="仿宋_GB2312"/>
          <w:sz w:val="32"/>
          <w:szCs w:val="32"/>
        </w:rPr>
        <w:t>如下：</w:t>
      </w:r>
    </w:p>
    <w:p>
      <w:pPr>
        <w:pStyle w:val="5"/>
        <w:widowControl/>
        <w:spacing w:beforeAutospacing="0" w:afterAutospacing="0" w:line="560" w:lineRule="exact"/>
        <w:ind w:firstLine="640" w:firstLineChars="200"/>
        <w:rPr>
          <w:rFonts w:ascii="黑体" w:hAnsi="黑体" w:eastAsia="黑体" w:cs="黑体"/>
          <w:bCs/>
          <w:sz w:val="32"/>
          <w:szCs w:val="32"/>
        </w:rPr>
      </w:pPr>
      <w:r>
        <w:rPr>
          <w:rStyle w:val="8"/>
          <w:rFonts w:hint="eastAsia" w:ascii="黑体" w:hAnsi="黑体" w:eastAsia="黑体" w:cs="黑体"/>
          <w:b w:val="0"/>
          <w:bCs/>
          <w:sz w:val="32"/>
          <w:szCs w:val="32"/>
        </w:rPr>
        <w:t>一、审核对象</w:t>
      </w:r>
    </w:p>
    <w:p>
      <w:pPr>
        <w:pStyle w:val="5"/>
        <w:widowControl/>
        <w:spacing w:beforeAutospacing="0" w:afterAutospacing="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威海市202</w:t>
      </w:r>
      <w:r>
        <w:rPr>
          <w:rFonts w:hint="eastAsia" w:ascii="仿宋_GB2312" w:hAnsi="仿宋_GB2312" w:eastAsia="仿宋_GB2312" w:cs="仿宋_GB2312"/>
          <w:sz w:val="32"/>
          <w:szCs w:val="32"/>
          <w:lang w:val="en-US" w:eastAsia="zh-CN"/>
        </w:rPr>
        <w:t>2</w:t>
      </w:r>
      <w:r>
        <w:rPr>
          <w:rFonts w:hint="eastAsia" w:ascii="仿宋_GB2312" w:hAnsi="仿宋_GB2312" w:eastAsia="仿宋_GB2312" w:cs="仿宋_GB2312"/>
          <w:sz w:val="32"/>
          <w:szCs w:val="32"/>
        </w:rPr>
        <w:t>年度安排有残疾人就业的各级国家机关、社会团体、企业</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事业单位、民办非企业单位</w:t>
      </w:r>
      <w:r>
        <w:rPr>
          <w:rFonts w:hint="eastAsia" w:ascii="仿宋_GB2312" w:hAnsi="仿宋_GB2312" w:eastAsia="仿宋_GB2312" w:cs="仿宋_GB2312"/>
          <w:sz w:val="32"/>
          <w:szCs w:val="32"/>
          <w:lang w:eastAsia="zh-CN"/>
        </w:rPr>
        <w:t>等各类用人单位</w:t>
      </w:r>
      <w:r>
        <w:rPr>
          <w:rFonts w:hint="eastAsia" w:ascii="仿宋_GB2312" w:hAnsi="仿宋_GB2312" w:eastAsia="仿宋_GB2312" w:cs="仿宋_GB2312"/>
          <w:sz w:val="32"/>
          <w:szCs w:val="32"/>
        </w:rPr>
        <w:t>（以下简称用人单位）。</w:t>
      </w:r>
    </w:p>
    <w:p>
      <w:pPr>
        <w:pStyle w:val="5"/>
        <w:widowControl/>
        <w:spacing w:beforeAutospacing="0" w:afterAutospacing="0" w:line="560" w:lineRule="exact"/>
        <w:ind w:firstLine="640" w:firstLineChars="200"/>
        <w:rPr>
          <w:rStyle w:val="8"/>
          <w:rFonts w:ascii="黑体" w:hAnsi="黑体" w:eastAsia="黑体" w:cs="黑体"/>
          <w:b w:val="0"/>
          <w:bCs/>
          <w:sz w:val="32"/>
          <w:szCs w:val="32"/>
        </w:rPr>
      </w:pPr>
      <w:r>
        <w:rPr>
          <w:rStyle w:val="8"/>
          <w:rFonts w:hint="eastAsia" w:ascii="黑体" w:hAnsi="黑体" w:eastAsia="黑体" w:cs="黑体"/>
          <w:b w:val="0"/>
          <w:bCs/>
          <w:sz w:val="32"/>
          <w:szCs w:val="32"/>
        </w:rPr>
        <w:t>二、审核时间</w:t>
      </w:r>
    </w:p>
    <w:p>
      <w:pPr>
        <w:pStyle w:val="5"/>
        <w:widowControl/>
        <w:shd w:val="clear" w:color="auto" w:fill="FFFFFF"/>
        <w:spacing w:beforeAutospacing="0" w:afterAutospacing="0" w:line="560" w:lineRule="exact"/>
        <w:ind w:firstLine="760" w:firstLineChars="200"/>
        <w:rPr>
          <w:rFonts w:ascii="仿宋_GB2312" w:hAnsi="仿宋_GB2312" w:eastAsia="仿宋_GB2312" w:cs="仿宋_GB2312"/>
          <w:sz w:val="32"/>
          <w:szCs w:val="32"/>
        </w:rPr>
      </w:pPr>
      <w:r>
        <w:rPr>
          <w:rFonts w:hint="eastAsia" w:ascii="仿宋_GB2312" w:hAnsi="仿宋_GB2312" w:eastAsia="仿宋_GB2312" w:cs="仿宋_GB2312"/>
          <w:color w:val="323232"/>
          <w:spacing w:val="30"/>
          <w:sz w:val="32"/>
          <w:szCs w:val="32"/>
          <w:shd w:val="clear" w:color="auto" w:fill="FFFFFF"/>
        </w:rPr>
        <w:t>202</w:t>
      </w:r>
      <w:r>
        <w:rPr>
          <w:rFonts w:hint="eastAsia" w:ascii="仿宋_GB2312" w:hAnsi="仿宋_GB2312" w:eastAsia="仿宋_GB2312" w:cs="仿宋_GB2312"/>
          <w:color w:val="323232"/>
          <w:spacing w:val="30"/>
          <w:sz w:val="32"/>
          <w:szCs w:val="32"/>
          <w:shd w:val="clear" w:color="auto" w:fill="FFFFFF"/>
          <w:lang w:val="en-US" w:eastAsia="zh-CN"/>
        </w:rPr>
        <w:t>3</w:t>
      </w:r>
      <w:r>
        <w:rPr>
          <w:rFonts w:hint="eastAsia" w:ascii="仿宋_GB2312" w:hAnsi="仿宋_GB2312" w:eastAsia="仿宋_GB2312" w:cs="仿宋_GB2312"/>
          <w:color w:val="323232"/>
          <w:spacing w:val="30"/>
          <w:sz w:val="32"/>
          <w:szCs w:val="32"/>
          <w:shd w:val="clear" w:color="auto" w:fill="FFFFFF"/>
        </w:rPr>
        <w:t>年3月1日-202</w:t>
      </w:r>
      <w:r>
        <w:rPr>
          <w:rFonts w:hint="eastAsia" w:ascii="仿宋_GB2312" w:hAnsi="仿宋_GB2312" w:eastAsia="仿宋_GB2312" w:cs="仿宋_GB2312"/>
          <w:color w:val="323232"/>
          <w:spacing w:val="30"/>
          <w:sz w:val="32"/>
          <w:szCs w:val="32"/>
          <w:shd w:val="clear" w:color="auto" w:fill="FFFFFF"/>
          <w:lang w:val="en-US" w:eastAsia="zh-CN"/>
        </w:rPr>
        <w:t>3</w:t>
      </w:r>
      <w:r>
        <w:rPr>
          <w:rFonts w:hint="eastAsia" w:ascii="仿宋_GB2312" w:hAnsi="仿宋_GB2312" w:eastAsia="仿宋_GB2312" w:cs="仿宋_GB2312"/>
          <w:color w:val="323232"/>
          <w:spacing w:val="30"/>
          <w:sz w:val="32"/>
          <w:szCs w:val="32"/>
          <w:shd w:val="clear" w:color="auto" w:fill="FFFFFF"/>
        </w:rPr>
        <w:t>年10月31日</w:t>
      </w:r>
    </w:p>
    <w:p>
      <w:pPr>
        <w:pStyle w:val="5"/>
        <w:widowControl/>
        <w:spacing w:beforeAutospacing="0" w:afterAutospacing="0" w:line="560" w:lineRule="exact"/>
        <w:ind w:firstLine="640" w:firstLineChars="200"/>
        <w:rPr>
          <w:rStyle w:val="8"/>
          <w:rFonts w:ascii="黑体" w:hAnsi="黑体" w:eastAsia="黑体" w:cs="黑体"/>
          <w:b w:val="0"/>
          <w:bCs/>
          <w:sz w:val="32"/>
          <w:szCs w:val="32"/>
        </w:rPr>
      </w:pPr>
      <w:r>
        <w:rPr>
          <w:rStyle w:val="8"/>
          <w:rFonts w:hint="eastAsia" w:ascii="黑体" w:hAnsi="黑体" w:eastAsia="黑体" w:cs="黑体"/>
          <w:b w:val="0"/>
          <w:bCs/>
          <w:sz w:val="32"/>
          <w:szCs w:val="32"/>
        </w:rPr>
        <w:t>三、申报方式</w:t>
      </w:r>
    </w:p>
    <w:p>
      <w:pPr>
        <w:pStyle w:val="5"/>
        <w:widowControl/>
        <w:spacing w:beforeAutospacing="0" w:afterAutospacing="0" w:line="560" w:lineRule="exact"/>
        <w:ind w:firstLine="640" w:firstLineChars="200"/>
        <w:rPr>
          <w:rFonts w:hint="eastAsia" w:ascii="仿宋_GB2312" w:hAnsi="仿宋_GB2312" w:eastAsia="仿宋_GB2312" w:cs="仿宋_GB2312"/>
          <w:color w:val="000000" w:themeColor="text1"/>
          <w:sz w:val="32"/>
          <w:szCs w:val="32"/>
          <w:lang w:eastAsia="zh-CN"/>
        </w:rPr>
      </w:pPr>
      <w:r>
        <w:rPr>
          <w:rFonts w:hint="eastAsia" w:ascii="仿宋_GB2312" w:hAnsi="仿宋_GB2312" w:eastAsia="仿宋_GB2312" w:cs="仿宋_GB2312"/>
          <w:color w:val="000000" w:themeColor="text1"/>
          <w:sz w:val="32"/>
          <w:szCs w:val="32"/>
        </w:rPr>
        <w:t>1.网上申报：用人单位通过</w:t>
      </w:r>
      <w:r>
        <w:rPr>
          <w:rFonts w:hint="eastAsia" w:ascii="仿宋_GB2312" w:hAnsi="仿宋_GB2312" w:eastAsia="仿宋_GB2312" w:cs="仿宋_GB2312"/>
          <w:color w:val="000000" w:themeColor="text1"/>
          <w:sz w:val="32"/>
          <w:szCs w:val="32"/>
          <w:lang w:eastAsia="zh-CN"/>
        </w:rPr>
        <w:t>山东</w:t>
      </w:r>
      <w:r>
        <w:rPr>
          <w:rFonts w:hint="eastAsia" w:ascii="仿宋_GB2312" w:hAnsi="仿宋_GB2312" w:eastAsia="仿宋_GB2312" w:cs="仿宋_GB2312"/>
          <w:color w:val="000000" w:themeColor="text1"/>
          <w:sz w:val="32"/>
          <w:szCs w:val="32"/>
        </w:rPr>
        <w:t>省政务服务网进入“跨省通办”专区，登录按比例安排残疾人就业审核管理系统办理。</w:t>
      </w:r>
    </w:p>
    <w:p>
      <w:pPr>
        <w:pStyle w:val="5"/>
        <w:widowControl/>
        <w:spacing w:beforeAutospacing="0" w:afterAutospacing="0" w:line="560" w:lineRule="exact"/>
        <w:ind w:firstLine="640" w:firstLineChars="200"/>
        <w:rPr>
          <w:rFonts w:ascii="仿宋_GB2312" w:hAnsi="仿宋_GB2312" w:eastAsia="仿宋_GB2312" w:cs="仿宋_GB2312"/>
          <w:color w:val="000000" w:themeColor="text1"/>
          <w:sz w:val="32"/>
          <w:szCs w:val="32"/>
        </w:rPr>
      </w:pPr>
      <w:r>
        <w:rPr>
          <w:rFonts w:hint="eastAsia" w:ascii="仿宋_GB2312" w:hAnsi="仿宋_GB2312" w:eastAsia="仿宋_GB2312" w:cs="仿宋_GB2312"/>
          <w:color w:val="000000" w:themeColor="text1"/>
          <w:sz w:val="32"/>
          <w:szCs w:val="32"/>
        </w:rPr>
        <w:t>2.窗口办理（现场办理）：用人单位携带申报材料到办理税务登记或扣缴税款登记所在地的残疾人就业服务机构按比例安排残疾人就业审核窗口进行申报。</w:t>
      </w:r>
    </w:p>
    <w:p>
      <w:pPr>
        <w:pStyle w:val="5"/>
        <w:widowControl/>
        <w:spacing w:beforeAutospacing="0" w:afterAutospacing="0" w:line="560" w:lineRule="exact"/>
        <w:ind w:firstLine="640" w:firstLineChars="200"/>
        <w:rPr>
          <w:rStyle w:val="8"/>
          <w:rFonts w:ascii="黑体" w:hAnsi="黑体" w:eastAsia="黑体" w:cs="黑体"/>
          <w:b w:val="0"/>
          <w:bCs/>
          <w:color w:val="000000" w:themeColor="text1"/>
          <w:sz w:val="32"/>
          <w:szCs w:val="32"/>
        </w:rPr>
      </w:pPr>
      <w:r>
        <w:rPr>
          <w:rStyle w:val="8"/>
          <w:rFonts w:hint="eastAsia" w:ascii="黑体" w:hAnsi="黑体" w:eastAsia="黑体" w:cs="黑体"/>
          <w:b w:val="0"/>
          <w:bCs/>
          <w:color w:val="000000" w:themeColor="text1"/>
          <w:sz w:val="32"/>
          <w:szCs w:val="32"/>
        </w:rPr>
        <w:t>四、申报材料</w:t>
      </w:r>
    </w:p>
    <w:p>
      <w:pPr>
        <w:pStyle w:val="5"/>
        <w:widowControl/>
        <w:spacing w:beforeAutospacing="0" w:afterAutospacing="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1.网上办理：</w:t>
      </w:r>
      <w:r>
        <w:rPr>
          <w:rFonts w:hint="eastAsia" w:ascii="仿宋_GB2312" w:hAnsi="仿宋_GB2312" w:eastAsia="仿宋_GB2312" w:cs="仿宋_GB2312"/>
          <w:color w:val="000000" w:themeColor="text1"/>
          <w:sz w:val="32"/>
          <w:szCs w:val="32"/>
        </w:rPr>
        <w:t>（全程网办）</w:t>
      </w:r>
      <w:r>
        <w:rPr>
          <w:rFonts w:hint="eastAsia" w:ascii="仿宋_GB2312" w:hAnsi="仿宋_GB2312" w:eastAsia="仿宋_GB2312" w:cs="仿宋_GB2312"/>
          <w:sz w:val="32"/>
          <w:szCs w:val="32"/>
        </w:rPr>
        <w:t>用人单位注册（首次办理用户需要</w:t>
      </w:r>
      <w:r>
        <w:rPr>
          <w:rFonts w:hint="eastAsia" w:ascii="仿宋_GB2312" w:hAnsi="仿宋_GB2312" w:eastAsia="仿宋_GB2312" w:cs="仿宋_GB2312"/>
          <w:sz w:val="32"/>
          <w:szCs w:val="32"/>
          <w:lang w:eastAsia="zh-CN"/>
        </w:rPr>
        <w:t>进行法人注册</w:t>
      </w:r>
      <w:r>
        <w:rPr>
          <w:rFonts w:hint="eastAsia" w:ascii="仿宋_GB2312" w:hAnsi="仿宋_GB2312" w:eastAsia="仿宋_GB2312" w:cs="仿宋_GB2312"/>
          <w:sz w:val="32"/>
          <w:szCs w:val="32"/>
        </w:rPr>
        <w:t>）、登录系统后按系统提示填报并上传相关材料</w:t>
      </w:r>
      <w:r>
        <w:rPr>
          <w:rFonts w:hint="eastAsia" w:ascii="仿宋_GB2312" w:hAnsi="仿宋_GB2312" w:eastAsia="仿宋_GB2312" w:cs="仿宋_GB2312"/>
          <w:sz w:val="32"/>
          <w:szCs w:val="32"/>
          <w:lang w:eastAsia="zh-CN"/>
        </w:rPr>
        <w:t>，</w:t>
      </w:r>
      <w:r>
        <w:rPr>
          <w:rFonts w:hint="eastAsia" w:ascii="仿宋_GB2312" w:hAnsi="仿宋_GB2312" w:eastAsia="仿宋_GB2312" w:cs="仿宋_GB2312"/>
          <w:sz w:val="32"/>
          <w:szCs w:val="32"/>
        </w:rPr>
        <w:t>其中系统可自动调取残疾人证、残疾军人证、职工养老保险、医疗保险、个人工资发放等信息进行验证，如系统显示相关信息调取失败，请将相关证明材料拍照或扫描后上传至系统。其中：职工养老保险、医疗保险缴纳凭证需上传在社保系统下载或政务大厅打印的带公章凭证，工资发放证明可以是银行流水或其他工资发放凭证。</w:t>
      </w:r>
    </w:p>
    <w:p>
      <w:pPr>
        <w:pStyle w:val="5"/>
        <w:widowControl/>
        <w:spacing w:beforeAutospacing="0" w:afterAutospacing="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2.窗口办理（现场办理）：</w:t>
      </w:r>
    </w:p>
    <w:p>
      <w:pPr>
        <w:pStyle w:val="5"/>
        <w:widowControl/>
        <w:spacing w:beforeAutospacing="0" w:afterAutospacing="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（1）《用人单位提交材料真实有效性确认承诺书》盖章（用人单位公章、财务章或人事章）。</w:t>
      </w:r>
    </w:p>
    <w:p>
      <w:pPr>
        <w:pStyle w:val="5"/>
        <w:widowControl/>
        <w:spacing w:beforeAutospacing="0" w:afterAutospacing="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（2）《中华人民共和国残疾证》或《中华人民共和国残疾军人证》（1至8级）。</w:t>
      </w:r>
    </w:p>
    <w:p>
      <w:pPr>
        <w:pStyle w:val="5"/>
        <w:widowControl/>
        <w:spacing w:beforeAutospacing="0" w:afterAutospacing="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（3）残疾职工上年度养老保险缴费情况证明。</w:t>
      </w:r>
    </w:p>
    <w:p>
      <w:pPr>
        <w:pStyle w:val="5"/>
        <w:widowControl/>
        <w:spacing w:beforeAutospacing="0" w:afterAutospacing="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（4）残疾职工上年度医疗保险缴费情况证明。</w:t>
      </w:r>
    </w:p>
    <w:p>
      <w:pPr>
        <w:pStyle w:val="5"/>
        <w:widowControl/>
        <w:spacing w:beforeAutospacing="0" w:afterAutospacing="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（5）用人单位上年度通过金融机构向残疾职工支付工资证明。</w:t>
      </w:r>
    </w:p>
    <w:p>
      <w:pPr>
        <w:pStyle w:val="5"/>
        <w:widowControl/>
        <w:spacing w:beforeAutospacing="0" w:afterAutospacing="0" w:line="560" w:lineRule="exact"/>
        <w:ind w:firstLine="960" w:firstLineChars="300"/>
        <w:rPr>
          <w:rFonts w:ascii="仿宋_GB2312" w:hAnsi="仿宋_GB2312" w:eastAsia="仿宋_GB2312" w:cs="仿宋_GB2312"/>
          <w:sz w:val="32"/>
          <w:szCs w:val="32"/>
        </w:rPr>
      </w:pPr>
      <w:r>
        <w:rPr>
          <w:rFonts w:hint="eastAsia" w:ascii="仿宋_GB2312" w:hAnsi="仿宋_GB2312" w:eastAsia="仿宋_GB2312" w:cs="仿宋_GB2312"/>
          <w:sz w:val="32"/>
          <w:szCs w:val="32"/>
        </w:rPr>
        <w:t>注：材料（2）至（5），系统无法自动校验时需提供。</w:t>
      </w:r>
    </w:p>
    <w:p>
      <w:pPr>
        <w:pStyle w:val="5"/>
        <w:widowControl/>
        <w:spacing w:beforeAutospacing="0" w:afterAutospacing="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（6）残疾职工的入职材料（复印件1份，如：在编证明或劳动合同）。</w:t>
      </w:r>
    </w:p>
    <w:p>
      <w:pPr>
        <w:pStyle w:val="5"/>
        <w:widowControl/>
        <w:spacing w:beforeAutospacing="0" w:afterAutospacing="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（7）残疾人劳务派遣用工认定协议（原件1份，存在残疾人劳务派遣情况时需提供）。</w:t>
      </w:r>
    </w:p>
    <w:p>
      <w:pPr>
        <w:pStyle w:val="5"/>
        <w:widowControl/>
        <w:spacing w:beforeAutospacing="0" w:afterAutospacing="0" w:line="560" w:lineRule="exact"/>
        <w:ind w:firstLine="640" w:firstLineChars="200"/>
        <w:rPr>
          <w:rStyle w:val="8"/>
          <w:rFonts w:ascii="黑体" w:hAnsi="黑体" w:eastAsia="黑体" w:cs="黑体"/>
          <w:b w:val="0"/>
          <w:bCs/>
          <w:sz w:val="32"/>
          <w:szCs w:val="32"/>
        </w:rPr>
      </w:pPr>
      <w:r>
        <w:rPr>
          <w:rStyle w:val="8"/>
          <w:rFonts w:hint="eastAsia" w:ascii="黑体" w:hAnsi="黑体" w:eastAsia="黑体" w:cs="黑体"/>
          <w:b w:val="0"/>
          <w:bCs/>
          <w:sz w:val="32"/>
          <w:szCs w:val="32"/>
        </w:rPr>
        <w:t>五、相关说明</w:t>
      </w:r>
    </w:p>
    <w:p>
      <w:pPr>
        <w:pStyle w:val="5"/>
        <w:widowControl/>
        <w:spacing w:beforeAutospacing="0" w:afterAutospacing="0" w:line="560" w:lineRule="exact"/>
        <w:ind w:firstLine="640" w:firstLineChars="200"/>
        <w:rPr>
          <w:rFonts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rPr>
        <w:t>1.202</w:t>
      </w:r>
      <w:r>
        <w:rPr>
          <w:rFonts w:hint="eastAsia" w:ascii="仿宋_GB2312" w:hAnsi="仿宋_GB2312" w:eastAsia="仿宋_GB2312" w:cs="仿宋_GB2312"/>
          <w:color w:val="000000"/>
          <w:sz w:val="32"/>
          <w:szCs w:val="32"/>
          <w:lang w:val="en-US" w:eastAsia="zh-CN"/>
        </w:rPr>
        <w:t>2</w:t>
      </w:r>
      <w:r>
        <w:rPr>
          <w:rFonts w:hint="eastAsia" w:ascii="仿宋_GB2312" w:hAnsi="仿宋_GB2312" w:eastAsia="仿宋_GB2312" w:cs="仿宋_GB2312"/>
          <w:color w:val="000000"/>
          <w:sz w:val="32"/>
          <w:szCs w:val="32"/>
        </w:rPr>
        <w:t>年度安排</w:t>
      </w:r>
      <w:r>
        <w:rPr>
          <w:rFonts w:hint="eastAsia" w:ascii="仿宋_GB2312" w:hAnsi="仿宋_GB2312" w:eastAsia="仿宋_GB2312" w:cs="仿宋_GB2312"/>
          <w:color w:val="000000"/>
          <w:sz w:val="32"/>
          <w:szCs w:val="32"/>
          <w:lang w:eastAsia="zh-CN"/>
        </w:rPr>
        <w:t>有</w:t>
      </w:r>
      <w:r>
        <w:rPr>
          <w:rFonts w:hint="eastAsia" w:ascii="仿宋_GB2312" w:hAnsi="仿宋_GB2312" w:eastAsia="仿宋_GB2312" w:cs="仿宋_GB2312"/>
          <w:color w:val="000000"/>
          <w:sz w:val="32"/>
          <w:szCs w:val="32"/>
        </w:rPr>
        <w:t>残疾人就业的用人单位如在规定时限未申报的，视为未安排残疾人就业，由税务机关按规定征收残疾人就业保障金；未安排有残疾人就业的，直接向税务机关申报缴纳残疾人就业保障金，不需要进行安置残疾人就业审核认定。</w:t>
      </w:r>
    </w:p>
    <w:p>
      <w:pPr>
        <w:pStyle w:val="5"/>
        <w:widowControl/>
        <w:numPr>
          <w:ilvl w:val="0"/>
          <w:numId w:val="0"/>
        </w:numPr>
        <w:spacing w:beforeAutospacing="0" w:afterAutospacing="0" w:line="560" w:lineRule="exact"/>
        <w:ind w:firstLine="640" w:firstLineChars="200"/>
        <w:rPr>
          <w:rFonts w:hint="eastAsia" w:ascii="仿宋_GB2312" w:hAnsi="仿宋_GB2312" w:eastAsia="仿宋_GB2312" w:cs="仿宋_GB2312"/>
          <w:color w:val="000000"/>
          <w:sz w:val="32"/>
          <w:szCs w:val="32"/>
        </w:rPr>
      </w:pPr>
      <w:r>
        <w:rPr>
          <w:rFonts w:hint="eastAsia" w:ascii="仿宋_GB2312" w:hAnsi="仿宋_GB2312" w:eastAsia="仿宋_GB2312" w:cs="仿宋_GB2312"/>
          <w:color w:val="000000"/>
          <w:sz w:val="32"/>
          <w:szCs w:val="32"/>
          <w:lang w:val="en-US" w:eastAsia="zh-CN"/>
        </w:rPr>
        <w:t>2.</w:t>
      </w:r>
      <w:r>
        <w:rPr>
          <w:rFonts w:hint="eastAsia" w:ascii="仿宋_GB2312" w:hAnsi="仿宋_GB2312" w:eastAsia="仿宋_GB2312" w:cs="仿宋_GB2312"/>
          <w:color w:val="000000"/>
          <w:sz w:val="32"/>
          <w:szCs w:val="32"/>
        </w:rPr>
        <w:t>用人单位通过窗口申报，审核工作人员在系统中无法调取相关单位信息数据的，用人单位应当提供相关纸质版证明材料，由工作人员拍照或扫描后上传至系统。</w:t>
      </w:r>
    </w:p>
    <w:p>
      <w:pPr>
        <w:pStyle w:val="5"/>
        <w:widowControl/>
        <w:numPr>
          <w:ilvl w:val="0"/>
          <w:numId w:val="0"/>
        </w:numPr>
        <w:spacing w:beforeAutospacing="0" w:afterAutospacing="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val="en-US" w:eastAsia="zh-CN"/>
        </w:rPr>
        <w:t>3.</w:t>
      </w:r>
      <w:r>
        <w:rPr>
          <w:rFonts w:hint="eastAsia" w:ascii="仿宋_GB2312" w:hAnsi="仿宋_GB2312" w:eastAsia="仿宋_GB2312" w:cs="仿宋_GB2312"/>
          <w:sz w:val="32"/>
          <w:szCs w:val="32"/>
        </w:rPr>
        <w:t>用人单位在窗口申报时，应当在《用人单位提交材料真实有效性确认承诺书》盖章（用人单位公章、财务章或人事章）确认呈报材料及信息准确性和真实性。</w:t>
      </w:r>
    </w:p>
    <w:p>
      <w:pPr>
        <w:pStyle w:val="5"/>
        <w:widowControl/>
        <w:spacing w:beforeAutospacing="0" w:afterAutospacing="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4.用人单位网上申报通过后，可在承诺办结日前随时登录系统获取告知信息，了解办理状态。审核已办结的，可以下载打印电子认定书。</w:t>
      </w:r>
    </w:p>
    <w:p>
      <w:pPr>
        <w:pStyle w:val="5"/>
        <w:widowControl/>
        <w:spacing w:beforeAutospacing="0" w:afterAutospacing="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5.《用人单位提交材料真实有效性确认承诺书》、网上申报操作手册可在网址（https://service.sddpf.org.cn/）进行下载。</w:t>
      </w:r>
    </w:p>
    <w:p>
      <w:pPr>
        <w:pStyle w:val="5"/>
        <w:widowControl/>
        <w:spacing w:beforeAutospacing="0" w:afterAutospacing="0" w:line="560" w:lineRule="exact"/>
        <w:ind w:firstLine="640" w:firstLineChars="200"/>
        <w:rPr>
          <w:rStyle w:val="8"/>
          <w:rFonts w:ascii="黑体" w:hAnsi="黑体" w:eastAsia="黑体" w:cs="黑体"/>
          <w:b w:val="0"/>
          <w:bCs/>
          <w:sz w:val="32"/>
          <w:szCs w:val="32"/>
        </w:rPr>
      </w:pPr>
      <w:r>
        <w:rPr>
          <w:rStyle w:val="8"/>
          <w:rFonts w:hint="eastAsia" w:ascii="黑体" w:hAnsi="黑体" w:eastAsia="黑体" w:cs="黑体"/>
          <w:b w:val="0"/>
          <w:bCs/>
          <w:sz w:val="32"/>
          <w:szCs w:val="32"/>
        </w:rPr>
        <w:t>六、联系方式</w:t>
      </w:r>
    </w:p>
    <w:p>
      <w:pPr>
        <w:pStyle w:val="5"/>
        <w:widowControl/>
        <w:spacing w:beforeAutospacing="0" w:afterAutospacing="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用人单位根据属地原则申报，在申报过程中遇到任何问题可咨询当地残联或残疾人就业服务机构。</w:t>
      </w:r>
    </w:p>
    <w:p>
      <w:pPr>
        <w:pStyle w:val="5"/>
        <w:widowControl/>
        <w:spacing w:beforeAutospacing="0" w:afterAutospacing="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荣成市：0631-7523817</w:t>
      </w:r>
    </w:p>
    <w:p>
      <w:pPr>
        <w:pStyle w:val="5"/>
        <w:widowControl/>
        <w:spacing w:beforeAutospacing="0" w:afterAutospacing="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乳山市：0631-6873086，0631-6653306</w:t>
      </w:r>
    </w:p>
    <w:p>
      <w:pPr>
        <w:pStyle w:val="5"/>
        <w:widowControl/>
        <w:spacing w:beforeAutospacing="0" w:afterAutospacing="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环翠区：0631-5308656</w:t>
      </w:r>
    </w:p>
    <w:p>
      <w:pPr>
        <w:pStyle w:val="5"/>
        <w:widowControl/>
        <w:spacing w:beforeAutospacing="0" w:afterAutospacing="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文登区：0631-6083031</w:t>
      </w:r>
    </w:p>
    <w:p>
      <w:pPr>
        <w:pStyle w:val="5"/>
        <w:widowControl/>
        <w:spacing w:beforeAutospacing="0" w:afterAutospacing="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高  区：0631-5629050</w:t>
      </w:r>
    </w:p>
    <w:p>
      <w:pPr>
        <w:pStyle w:val="5"/>
        <w:widowControl/>
        <w:spacing w:beforeAutospacing="0" w:afterAutospacing="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经  区：0631-5916171，0631-5916172</w:t>
      </w:r>
    </w:p>
    <w:p>
      <w:pPr>
        <w:pStyle w:val="5"/>
        <w:widowControl/>
        <w:spacing w:beforeAutospacing="0" w:afterAutospacing="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临港区：0631-5551139</w:t>
      </w:r>
    </w:p>
    <w:p>
      <w:pPr>
        <w:pStyle w:val="5"/>
        <w:widowControl/>
        <w:spacing w:beforeAutospacing="0" w:afterAutospacing="0"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南海新区：0631-8963886</w:t>
      </w:r>
    </w:p>
    <w:p>
      <w:pPr>
        <w:pStyle w:val="5"/>
        <w:widowControl/>
        <w:spacing w:beforeAutospacing="0" w:afterAutospacing="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lang w:eastAsia="zh-CN"/>
        </w:rPr>
        <w:t>市直</w:t>
      </w:r>
      <w:r>
        <w:rPr>
          <w:rFonts w:hint="eastAsia" w:ascii="仿宋_GB2312" w:hAnsi="仿宋_GB2312" w:eastAsia="仿宋_GB2312" w:cs="仿宋_GB2312"/>
          <w:sz w:val="32"/>
          <w:szCs w:val="32"/>
        </w:rPr>
        <w:t>：0631-5890559</w:t>
      </w:r>
    </w:p>
    <w:p>
      <w:pPr>
        <w:pStyle w:val="5"/>
        <w:widowControl/>
        <w:spacing w:beforeAutospacing="0" w:afterAutospacing="0" w:line="560" w:lineRule="exact"/>
        <w:ind w:firstLine="640" w:firstLineChars="200"/>
        <w:rPr>
          <w:rFonts w:hint="eastAsia" w:ascii="仿宋_GB2312" w:hAnsi="仿宋_GB2312" w:eastAsia="仿宋_GB2312" w:cs="仿宋_GB2312"/>
          <w:sz w:val="32"/>
          <w:szCs w:val="32"/>
        </w:rPr>
      </w:pPr>
    </w:p>
    <w:p>
      <w:pPr>
        <w:pStyle w:val="5"/>
        <w:widowControl/>
        <w:spacing w:beforeAutospacing="0" w:afterAutospacing="0" w:line="560" w:lineRule="exact"/>
        <w:rPr>
          <w:rFonts w:ascii="仿宋_GB2312" w:hAnsi="仿宋_GB2312" w:eastAsia="仿宋_GB2312" w:cs="仿宋_GB2312"/>
          <w:sz w:val="32"/>
          <w:szCs w:val="32"/>
        </w:rPr>
      </w:pPr>
    </w:p>
    <w:p>
      <w:pPr>
        <w:pStyle w:val="5"/>
        <w:widowControl/>
        <w:spacing w:beforeAutospacing="0" w:afterAutospacing="0"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附件：1、法人用户注册</w:t>
      </w:r>
    </w:p>
    <w:p>
      <w:pPr>
        <w:pStyle w:val="5"/>
        <w:widowControl/>
        <w:spacing w:beforeAutospacing="0" w:afterAutospacing="0" w:line="560" w:lineRule="exact"/>
        <w:ind w:firstLine="1600" w:firstLineChars="500"/>
        <w:rPr>
          <w:rStyle w:val="8"/>
          <w:rFonts w:ascii="仿宋_GB2312" w:hAnsi="仿宋_GB2312" w:eastAsia="仿宋_GB2312" w:cs="仿宋_GB2312"/>
          <w:color w:val="323232"/>
          <w:spacing w:val="30"/>
          <w:sz w:val="32"/>
          <w:szCs w:val="32"/>
          <w:shd w:val="clear" w:color="auto" w:fill="FFFFFF"/>
        </w:rPr>
      </w:pPr>
      <w:r>
        <w:rPr>
          <w:rFonts w:hint="eastAsia" w:ascii="仿宋_GB2312" w:hAnsi="仿宋_GB2312" w:eastAsia="仿宋_GB2312" w:cs="仿宋_GB2312"/>
          <w:sz w:val="32"/>
          <w:szCs w:val="32"/>
        </w:rPr>
        <w:t>2、用人单位网上申报操作手册</w:t>
      </w:r>
    </w:p>
    <w:p>
      <w:pPr>
        <w:pStyle w:val="5"/>
        <w:widowControl/>
        <w:shd w:val="clear" w:color="auto" w:fill="FFFFFF"/>
        <w:spacing w:beforeAutospacing="0" w:afterAutospacing="0"/>
        <w:ind w:firstLine="2528" w:firstLineChars="900"/>
        <w:jc w:val="both"/>
        <w:rPr>
          <w:rFonts w:ascii="仿宋_GB2312" w:hAnsi="仿宋_GB2312" w:eastAsia="仿宋_GB2312" w:cs="仿宋_GB2312"/>
          <w:color w:val="323232"/>
          <w:spacing w:val="30"/>
          <w:sz w:val="21"/>
          <w:szCs w:val="21"/>
        </w:rPr>
      </w:pPr>
      <w:r>
        <w:rPr>
          <w:rStyle w:val="8"/>
          <w:rFonts w:hint="eastAsia" w:ascii="仿宋_GB2312" w:hAnsi="仿宋_GB2312" w:eastAsia="仿宋_GB2312" w:cs="仿宋_GB2312"/>
          <w:color w:val="323232"/>
          <w:spacing w:val="30"/>
          <w:sz w:val="22"/>
          <w:szCs w:val="22"/>
          <w:shd w:val="clear" w:color="auto" w:fill="FFFFFF"/>
        </w:rPr>
        <w:t>（详情请扫码查询）</w:t>
      </w:r>
    </w:p>
    <w:p>
      <w:pPr>
        <w:widowControl/>
        <w:jc w:val="left"/>
      </w:pPr>
    </w:p>
    <w:p>
      <w:pPr>
        <w:ind w:firstLine="4480" w:firstLineChars="1400"/>
        <w:rPr>
          <w:rFonts w:hint="eastAsia" w:ascii="仿宋_GB2312" w:hAnsi="仿宋_GB2312" w:eastAsia="仿宋_GB2312" w:cs="仿宋_GB2312"/>
          <w:kern w:val="0"/>
          <w:sz w:val="32"/>
          <w:szCs w:val="32"/>
        </w:rPr>
      </w:pPr>
    </w:p>
    <w:p>
      <w:pPr>
        <w:ind w:firstLine="3520" w:firstLineChars="1100"/>
        <w:rPr>
          <w:rFonts w:hint="eastAsia" w:ascii="仿宋_GB2312" w:hAnsi="仿宋_GB2312" w:eastAsia="仿宋_GB2312" w:cs="仿宋_GB2312"/>
          <w:kern w:val="0"/>
          <w:sz w:val="32"/>
          <w:szCs w:val="32"/>
          <w:lang w:eastAsia="zh-CN"/>
        </w:rPr>
      </w:pPr>
      <w:r>
        <w:rPr>
          <w:rFonts w:hint="eastAsia" w:ascii="仿宋_GB2312" w:hAnsi="仿宋_GB2312" w:eastAsia="仿宋_GB2312" w:cs="仿宋_GB2312"/>
          <w:kern w:val="0"/>
          <w:sz w:val="32"/>
          <w:szCs w:val="32"/>
        </w:rPr>
        <w:t>威海市残疾人</w:t>
      </w:r>
      <w:r>
        <w:rPr>
          <w:rFonts w:hint="eastAsia" w:ascii="仿宋_GB2312" w:hAnsi="仿宋_GB2312" w:eastAsia="仿宋_GB2312" w:cs="仿宋_GB2312"/>
          <w:kern w:val="0"/>
          <w:sz w:val="32"/>
          <w:szCs w:val="32"/>
          <w:lang w:val="en-US" w:eastAsia="zh-CN"/>
        </w:rPr>
        <w:t>就业托养服务中心</w:t>
      </w:r>
    </w:p>
    <w:p>
      <w:pPr>
        <w:ind w:firstLine="4800" w:firstLineChars="1500"/>
        <w:rPr>
          <w:rFonts w:ascii="仿宋_GB2312" w:hAnsi="仿宋_GB2312" w:eastAsia="仿宋_GB2312" w:cs="仿宋_GB2312"/>
          <w:kern w:val="0"/>
          <w:sz w:val="32"/>
          <w:szCs w:val="32"/>
        </w:rPr>
      </w:pPr>
      <w:r>
        <w:rPr>
          <w:rFonts w:hint="eastAsia" w:ascii="仿宋_GB2312" w:hAnsi="仿宋_GB2312" w:eastAsia="仿宋_GB2312" w:cs="仿宋_GB2312"/>
          <w:kern w:val="0"/>
          <w:sz w:val="32"/>
          <w:szCs w:val="32"/>
        </w:rPr>
        <w:t>202</w:t>
      </w:r>
      <w:r>
        <w:rPr>
          <w:rFonts w:hint="eastAsia" w:ascii="仿宋_GB2312" w:hAnsi="仿宋_GB2312" w:eastAsia="仿宋_GB2312" w:cs="仿宋_GB2312"/>
          <w:kern w:val="0"/>
          <w:sz w:val="32"/>
          <w:szCs w:val="32"/>
          <w:lang w:val="en-US" w:eastAsia="zh-CN"/>
        </w:rPr>
        <w:t>3</w:t>
      </w:r>
      <w:r>
        <w:rPr>
          <w:rFonts w:hint="eastAsia" w:ascii="仿宋_GB2312" w:hAnsi="仿宋_GB2312" w:eastAsia="仿宋_GB2312" w:cs="仿宋_GB2312"/>
          <w:kern w:val="0"/>
          <w:sz w:val="32"/>
          <w:szCs w:val="32"/>
        </w:rPr>
        <w:t>年</w:t>
      </w:r>
      <w:r>
        <w:rPr>
          <w:rFonts w:hint="eastAsia" w:ascii="仿宋_GB2312" w:hAnsi="仿宋_GB2312" w:eastAsia="仿宋_GB2312" w:cs="仿宋_GB2312"/>
          <w:kern w:val="0"/>
          <w:sz w:val="32"/>
          <w:szCs w:val="32"/>
          <w:lang w:val="en-US" w:eastAsia="zh-CN"/>
        </w:rPr>
        <w:t>3</w:t>
      </w:r>
      <w:r>
        <w:rPr>
          <w:rFonts w:hint="eastAsia" w:ascii="仿宋_GB2312" w:hAnsi="仿宋_GB2312" w:eastAsia="仿宋_GB2312" w:cs="仿宋_GB2312"/>
          <w:kern w:val="0"/>
          <w:sz w:val="32"/>
          <w:szCs w:val="32"/>
        </w:rPr>
        <w:t>月</w:t>
      </w:r>
      <w:r>
        <w:rPr>
          <w:rFonts w:hint="eastAsia" w:ascii="仿宋_GB2312" w:hAnsi="仿宋_GB2312" w:eastAsia="仿宋_GB2312" w:cs="仿宋_GB2312"/>
          <w:kern w:val="0"/>
          <w:sz w:val="32"/>
          <w:szCs w:val="32"/>
          <w:lang w:val="en-US" w:eastAsia="zh-CN"/>
        </w:rPr>
        <w:t>6</w:t>
      </w:r>
      <w:r>
        <w:rPr>
          <w:rFonts w:hint="eastAsia" w:ascii="仿宋_GB2312" w:hAnsi="仿宋_GB2312" w:eastAsia="仿宋_GB2312" w:cs="仿宋_GB2312"/>
          <w:kern w:val="0"/>
          <w:sz w:val="32"/>
          <w:szCs w:val="32"/>
        </w:rPr>
        <w:t>日</w:t>
      </w:r>
    </w:p>
    <w:p>
      <w:pPr>
        <w:widowControl/>
        <w:jc w:val="left"/>
      </w:pPr>
    </w:p>
    <w:p>
      <w:pPr>
        <w:pStyle w:val="5"/>
        <w:widowControl/>
        <w:shd w:val="clear" w:color="auto" w:fill="FFFFFF"/>
        <w:spacing w:beforeAutospacing="0" w:afterAutospacing="0"/>
        <w:jc w:val="center"/>
      </w:pPr>
    </w:p>
    <w:p>
      <w:pPr>
        <w:pStyle w:val="5"/>
        <w:widowControl/>
        <w:shd w:val="clear" w:color="auto" w:fill="FFFFFF"/>
        <w:spacing w:beforeAutospacing="0" w:afterAutospacing="0"/>
        <w:jc w:val="center"/>
      </w:pPr>
    </w:p>
    <w:p>
      <w:pPr>
        <w:pStyle w:val="5"/>
        <w:widowControl/>
        <w:shd w:val="clear" w:color="auto" w:fill="FFFFFF"/>
        <w:spacing w:beforeAutospacing="0" w:afterAutospacing="0"/>
        <w:jc w:val="both"/>
        <w:rPr>
          <w:rFonts w:hint="eastAsia" w:ascii="黑体" w:hAnsi="黑体" w:eastAsia="黑体" w:cs="黑体"/>
          <w:color w:val="323232"/>
          <w:spacing w:val="30"/>
          <w:sz w:val="21"/>
          <w:szCs w:val="21"/>
          <w:lang w:eastAsia="zh-CN"/>
        </w:rPr>
      </w:pPr>
    </w:p>
    <w:p>
      <w:pPr>
        <w:pStyle w:val="5"/>
        <w:widowControl/>
        <w:shd w:val="clear" w:color="auto" w:fill="FFFFFF"/>
        <w:spacing w:beforeAutospacing="0" w:afterAutospacing="0"/>
        <w:jc w:val="left"/>
        <w:rPr>
          <w:rFonts w:hint="eastAsia" w:ascii="黑体" w:hAnsi="黑体" w:eastAsia="黑体" w:cs="黑体"/>
          <w:color w:val="323232"/>
          <w:spacing w:val="30"/>
          <w:sz w:val="32"/>
          <w:szCs w:val="32"/>
          <w:lang w:eastAsia="zh-CN"/>
        </w:rPr>
      </w:pPr>
    </w:p>
    <w:p>
      <w:pPr>
        <w:pStyle w:val="5"/>
        <w:widowControl/>
        <w:shd w:val="clear" w:color="auto" w:fill="FFFFFF"/>
        <w:spacing w:beforeAutospacing="0" w:afterAutospacing="0"/>
        <w:jc w:val="left"/>
        <w:rPr>
          <w:rFonts w:hint="eastAsia" w:ascii="黑体" w:hAnsi="黑体" w:eastAsia="黑体" w:cs="黑体"/>
          <w:color w:val="323232"/>
          <w:spacing w:val="30"/>
          <w:sz w:val="32"/>
          <w:szCs w:val="32"/>
          <w:lang w:eastAsia="zh-CN"/>
        </w:rPr>
      </w:pPr>
    </w:p>
    <w:p>
      <w:pPr>
        <w:pStyle w:val="5"/>
        <w:widowControl/>
        <w:shd w:val="clear" w:color="auto" w:fill="FFFFFF"/>
        <w:spacing w:beforeAutospacing="0" w:afterAutospacing="0"/>
        <w:jc w:val="left"/>
        <w:rPr>
          <w:rFonts w:hint="eastAsia" w:ascii="黑体" w:hAnsi="黑体" w:eastAsia="黑体" w:cs="黑体"/>
          <w:color w:val="323232"/>
          <w:spacing w:val="30"/>
          <w:sz w:val="32"/>
          <w:szCs w:val="32"/>
          <w:lang w:eastAsia="zh-CN"/>
        </w:rPr>
      </w:pPr>
    </w:p>
    <w:p>
      <w:pPr>
        <w:pStyle w:val="5"/>
        <w:widowControl/>
        <w:shd w:val="clear" w:color="auto" w:fill="FFFFFF"/>
        <w:spacing w:beforeAutospacing="0" w:afterAutospacing="0"/>
        <w:jc w:val="left"/>
        <w:rPr>
          <w:rFonts w:hint="eastAsia" w:ascii="黑体" w:hAnsi="黑体" w:eastAsia="黑体" w:cs="黑体"/>
          <w:color w:val="323232"/>
          <w:spacing w:val="30"/>
          <w:sz w:val="32"/>
          <w:szCs w:val="32"/>
          <w:lang w:eastAsia="zh-CN"/>
        </w:rPr>
      </w:pPr>
    </w:p>
    <w:p>
      <w:pPr>
        <w:pStyle w:val="5"/>
        <w:widowControl/>
        <w:shd w:val="clear" w:color="auto" w:fill="FFFFFF"/>
        <w:spacing w:beforeAutospacing="0" w:afterAutospacing="0"/>
        <w:jc w:val="left"/>
        <w:rPr>
          <w:rFonts w:hint="eastAsia" w:ascii="黑体" w:hAnsi="黑体" w:eastAsia="黑体" w:cs="黑体"/>
          <w:color w:val="323232"/>
          <w:spacing w:val="30"/>
          <w:sz w:val="32"/>
          <w:szCs w:val="32"/>
          <w:lang w:eastAsia="zh-CN"/>
        </w:rPr>
      </w:pPr>
    </w:p>
    <w:p>
      <w:pPr>
        <w:pStyle w:val="5"/>
        <w:widowControl/>
        <w:shd w:val="clear" w:color="auto" w:fill="FFFFFF"/>
        <w:spacing w:beforeAutospacing="0" w:afterAutospacing="0"/>
        <w:jc w:val="left"/>
        <w:rPr>
          <w:rFonts w:hint="eastAsia" w:ascii="黑体" w:hAnsi="黑体" w:eastAsia="黑体" w:cs="黑体"/>
          <w:color w:val="323232"/>
          <w:spacing w:val="30"/>
          <w:sz w:val="32"/>
          <w:szCs w:val="32"/>
          <w:lang w:eastAsia="zh-CN"/>
        </w:rPr>
      </w:pPr>
    </w:p>
    <w:p>
      <w:pPr>
        <w:pStyle w:val="5"/>
        <w:widowControl/>
        <w:shd w:val="clear" w:color="auto" w:fill="FFFFFF"/>
        <w:spacing w:beforeAutospacing="0" w:afterAutospacing="0"/>
        <w:jc w:val="left"/>
        <w:rPr>
          <w:rFonts w:hint="eastAsia" w:ascii="黑体" w:hAnsi="黑体" w:eastAsia="黑体" w:cs="黑体"/>
          <w:color w:val="323232"/>
          <w:spacing w:val="30"/>
          <w:sz w:val="32"/>
          <w:szCs w:val="32"/>
          <w:lang w:val="en-US" w:eastAsia="zh-CN"/>
        </w:rPr>
      </w:pPr>
      <w:r>
        <w:rPr>
          <w:rFonts w:hint="eastAsia" w:ascii="黑体" w:hAnsi="黑体" w:eastAsia="黑体" w:cs="黑体"/>
          <w:color w:val="323232"/>
          <w:spacing w:val="30"/>
          <w:sz w:val="32"/>
          <w:szCs w:val="32"/>
          <w:lang w:eastAsia="zh-CN"/>
        </w:rPr>
        <w:t>附件</w:t>
      </w:r>
      <w:r>
        <w:rPr>
          <w:rFonts w:hint="eastAsia" w:ascii="黑体" w:hAnsi="黑体" w:eastAsia="黑体" w:cs="黑体"/>
          <w:color w:val="323232"/>
          <w:spacing w:val="30"/>
          <w:sz w:val="32"/>
          <w:szCs w:val="32"/>
          <w:lang w:val="en-US" w:eastAsia="zh-CN"/>
        </w:rPr>
        <w:t>1</w:t>
      </w:r>
    </w:p>
    <w:p>
      <w:pPr>
        <w:pStyle w:val="5"/>
        <w:widowControl/>
        <w:shd w:val="clear" w:color="auto" w:fill="FFFFFF"/>
        <w:spacing w:beforeAutospacing="0" w:afterAutospacing="0"/>
        <w:jc w:val="center"/>
        <w:rPr>
          <w:rFonts w:hint="default" w:ascii="微软雅黑" w:hAnsi="微软雅黑" w:eastAsia="微软雅黑" w:cs="微软雅黑"/>
          <w:color w:val="323232"/>
          <w:spacing w:val="30"/>
          <w:sz w:val="21"/>
          <w:szCs w:val="21"/>
          <w:lang w:val="en-US" w:eastAsia="zh-CN"/>
        </w:rPr>
      </w:pPr>
      <w:r>
        <w:drawing>
          <wp:inline distT="0" distB="0" distL="114300" distR="114300">
            <wp:extent cx="3038475" cy="3065780"/>
            <wp:effectExtent l="0" t="0" r="9525" b="1270"/>
            <wp:docPr id="7" name="图片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pic:cNvPicPr>
                      <a:picLocks noChangeAspect="1"/>
                    </pic:cNvPicPr>
                  </pic:nvPicPr>
                  <pic:blipFill>
                    <a:blip r:embed="rId4" cstate="print"/>
                    <a:stretch>
                      <a:fillRect/>
                    </a:stretch>
                  </pic:blipFill>
                  <pic:spPr>
                    <a:xfrm>
                      <a:off x="0" y="0"/>
                      <a:ext cx="3038475" cy="3065780"/>
                    </a:xfrm>
                    <a:prstGeom prst="rect">
                      <a:avLst/>
                    </a:prstGeom>
                    <a:noFill/>
                    <a:ln>
                      <a:noFill/>
                    </a:ln>
                  </pic:spPr>
                </pic:pic>
              </a:graphicData>
            </a:graphic>
          </wp:inline>
        </w:drawing>
      </w:r>
    </w:p>
    <w:p>
      <w:pPr>
        <w:pStyle w:val="5"/>
        <w:widowControl/>
        <w:shd w:val="clear" w:color="auto" w:fill="FFFFFF"/>
        <w:spacing w:beforeAutospacing="0" w:afterAutospacing="0"/>
        <w:jc w:val="left"/>
        <w:rPr>
          <w:rFonts w:hint="eastAsia" w:ascii="黑体" w:hAnsi="黑体" w:eastAsia="黑体" w:cs="黑体"/>
          <w:color w:val="323232"/>
          <w:spacing w:val="30"/>
          <w:sz w:val="32"/>
          <w:szCs w:val="32"/>
          <w:lang w:val="en-US" w:eastAsia="zh-CN"/>
        </w:rPr>
      </w:pPr>
      <w:r>
        <w:rPr>
          <w:rFonts w:hint="eastAsia" w:ascii="黑体" w:hAnsi="黑体" w:eastAsia="黑体" w:cs="黑体"/>
          <w:color w:val="323232"/>
          <w:spacing w:val="30"/>
          <w:sz w:val="32"/>
          <w:szCs w:val="32"/>
          <w:lang w:eastAsia="zh-CN"/>
        </w:rPr>
        <w:t>附件</w:t>
      </w:r>
      <w:r>
        <w:rPr>
          <w:rFonts w:hint="eastAsia" w:ascii="黑体" w:hAnsi="黑体" w:eastAsia="黑体" w:cs="黑体"/>
          <w:color w:val="323232"/>
          <w:spacing w:val="30"/>
          <w:sz w:val="32"/>
          <w:szCs w:val="32"/>
          <w:lang w:val="en-US" w:eastAsia="zh-CN"/>
        </w:rPr>
        <w:t>2</w:t>
      </w:r>
    </w:p>
    <w:p>
      <w:pPr>
        <w:pStyle w:val="5"/>
        <w:widowControl/>
        <w:shd w:val="clear" w:color="auto" w:fill="FFFFFF"/>
        <w:spacing w:beforeAutospacing="0" w:afterAutospacing="0"/>
        <w:jc w:val="both"/>
        <w:rPr>
          <w:rFonts w:ascii="微软雅黑" w:hAnsi="微软雅黑" w:eastAsia="微软雅黑" w:cs="微软雅黑"/>
          <w:color w:val="323232"/>
          <w:spacing w:val="30"/>
          <w:sz w:val="21"/>
          <w:szCs w:val="21"/>
        </w:rPr>
      </w:pPr>
    </w:p>
    <w:p>
      <w:pPr>
        <w:pStyle w:val="5"/>
        <w:widowControl/>
        <w:shd w:val="clear" w:color="auto" w:fill="FFFFFF"/>
        <w:spacing w:beforeAutospacing="0" w:afterAutospacing="0"/>
        <w:jc w:val="both"/>
        <w:rPr>
          <w:rFonts w:ascii="微软雅黑" w:hAnsi="微软雅黑" w:eastAsia="微软雅黑" w:cs="微软雅黑"/>
          <w:color w:val="323232"/>
          <w:spacing w:val="30"/>
          <w:sz w:val="21"/>
          <w:szCs w:val="21"/>
        </w:rPr>
      </w:pPr>
      <w:r>
        <w:rPr>
          <w:rFonts w:hint="eastAsia"/>
        </w:rPr>
        <w:t xml:space="preserve">               </w:t>
      </w:r>
      <w:r>
        <w:drawing>
          <wp:inline distT="0" distB="0" distL="114300" distR="114300">
            <wp:extent cx="2915920" cy="3435985"/>
            <wp:effectExtent l="0" t="0" r="17780" b="12065"/>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pic:cNvPicPr>
                  </pic:nvPicPr>
                  <pic:blipFill>
                    <a:blip r:embed="rId5" cstate="print"/>
                    <a:stretch>
                      <a:fillRect/>
                    </a:stretch>
                  </pic:blipFill>
                  <pic:spPr>
                    <a:xfrm>
                      <a:off x="0" y="0"/>
                      <a:ext cx="2915920" cy="3435985"/>
                    </a:xfrm>
                    <a:prstGeom prst="rect">
                      <a:avLst/>
                    </a:prstGeom>
                    <a:noFill/>
                    <a:ln>
                      <a:noFill/>
                    </a:ln>
                  </pic:spPr>
                </pic:pic>
              </a:graphicData>
            </a:graphic>
          </wp:inline>
        </w:drawing>
      </w:r>
    </w:p>
    <w:p/>
    <w:p>
      <w:pPr>
        <w:jc w:val="both"/>
        <w:rPr>
          <w:rFonts w:ascii="仿宋_GB2312" w:hAnsi="仿宋_GB2312" w:eastAsia="仿宋_GB2312" w:cs="仿宋_GB2312"/>
          <w:kern w:val="0"/>
          <w:sz w:val="32"/>
          <w:szCs w:val="32"/>
        </w:rPr>
      </w:pPr>
      <w:bookmarkStart w:id="0" w:name="_GoBack"/>
      <w:bookmarkEnd w:id="0"/>
    </w:p>
    <w:sectPr>
      <w:pgSz w:w="11906" w:h="16838"/>
      <w:pgMar w:top="1701" w:right="1474" w:bottom="170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2000000000000000000"/>
    <w:charset w:val="86"/>
    <w:family w:val="auto"/>
    <w:pitch w:val="default"/>
    <w:sig w:usb0="A00002BF" w:usb1="184F6CFA" w:usb2="00000012" w:usb3="00000000" w:csb0="00040001" w:csb1="00000000"/>
  </w:font>
  <w:font w:name="仿宋_GB2312">
    <w:panose1 w:val="02010609030101010101"/>
    <w:charset w:val="86"/>
    <w:family w:val="modern"/>
    <w:pitch w:val="default"/>
    <w:sig w:usb0="00000001" w:usb1="080E0000" w:usb2="00000000" w:usb3="00000000" w:csb0="00040000" w:csb1="00000000"/>
  </w:font>
  <w:font w:name="华文仿宋">
    <w:altName w:val="仿宋"/>
    <w:panose1 w:val="02010600040101010101"/>
    <w:charset w:val="86"/>
    <w:family w:val="auto"/>
    <w:pitch w:val="default"/>
    <w:sig w:usb0="00000000" w:usb1="00000000" w:usb2="00000010" w:usb3="00000000" w:csb0="0004009F" w:csb1="00000000"/>
  </w:font>
  <w:font w:name="微软雅黑">
    <w:panose1 w:val="020B0503020204020204"/>
    <w:charset w:val="86"/>
    <w:family w:val="swiss"/>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
  <w:docVars>
    <w:docVar w:name="commondata" w:val="eyJoZGlkIjoiODhjYWNjM2U5NzhjZDg1MTY2YzU3Mzc3YzQxYTUwMzMifQ=="/>
  </w:docVars>
  <w:rsids>
    <w:rsidRoot w:val="7E2C5E00"/>
    <w:rsid w:val="0003253C"/>
    <w:rsid w:val="00063016"/>
    <w:rsid w:val="00243B3F"/>
    <w:rsid w:val="0029579C"/>
    <w:rsid w:val="003A0190"/>
    <w:rsid w:val="00406C9D"/>
    <w:rsid w:val="005078CF"/>
    <w:rsid w:val="00865F90"/>
    <w:rsid w:val="0088319E"/>
    <w:rsid w:val="00891DF1"/>
    <w:rsid w:val="00D86FCE"/>
    <w:rsid w:val="00E90E1B"/>
    <w:rsid w:val="00F97EB5"/>
    <w:rsid w:val="00FB6754"/>
    <w:rsid w:val="07BA5D2C"/>
    <w:rsid w:val="0B7F598F"/>
    <w:rsid w:val="0D5862D5"/>
    <w:rsid w:val="0E553C2C"/>
    <w:rsid w:val="10E04B50"/>
    <w:rsid w:val="10F16A1F"/>
    <w:rsid w:val="11A45B9C"/>
    <w:rsid w:val="11C44DF0"/>
    <w:rsid w:val="134C1440"/>
    <w:rsid w:val="1D8014F3"/>
    <w:rsid w:val="2F700D49"/>
    <w:rsid w:val="304864E8"/>
    <w:rsid w:val="35AB7CD1"/>
    <w:rsid w:val="38486AA5"/>
    <w:rsid w:val="389D25A4"/>
    <w:rsid w:val="3BD77022"/>
    <w:rsid w:val="3E7266F9"/>
    <w:rsid w:val="43BF52E5"/>
    <w:rsid w:val="442F484B"/>
    <w:rsid w:val="4AA40AC6"/>
    <w:rsid w:val="4D0D2B26"/>
    <w:rsid w:val="4D5212E3"/>
    <w:rsid w:val="4D884665"/>
    <w:rsid w:val="4DAB1AF6"/>
    <w:rsid w:val="5163420B"/>
    <w:rsid w:val="5317390E"/>
    <w:rsid w:val="53616F12"/>
    <w:rsid w:val="5AC37781"/>
    <w:rsid w:val="5B352013"/>
    <w:rsid w:val="64964455"/>
    <w:rsid w:val="662B79EA"/>
    <w:rsid w:val="665B51D4"/>
    <w:rsid w:val="669A2F83"/>
    <w:rsid w:val="66F128F1"/>
    <w:rsid w:val="67133253"/>
    <w:rsid w:val="725B3268"/>
    <w:rsid w:val="72706ED7"/>
    <w:rsid w:val="7E2C5E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Arial" w:hAnsi="Arial" w:eastAsiaTheme="minorEastAsia"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1"/>
    <w:qFormat/>
    <w:uiPriority w:val="0"/>
    <w:rPr>
      <w:sz w:val="18"/>
      <w:szCs w:val="18"/>
    </w:rPr>
  </w:style>
  <w:style w:type="paragraph" w:styleId="3">
    <w:name w:val="footer"/>
    <w:basedOn w:val="1"/>
    <w:link w:val="10"/>
    <w:qFormat/>
    <w:uiPriority w:val="0"/>
    <w:pPr>
      <w:tabs>
        <w:tab w:val="center" w:pos="4153"/>
        <w:tab w:val="right" w:pos="8306"/>
      </w:tabs>
      <w:snapToGrid w:val="0"/>
      <w:jc w:val="left"/>
    </w:pPr>
    <w:rPr>
      <w:sz w:val="18"/>
      <w:szCs w:val="18"/>
    </w:rPr>
  </w:style>
  <w:style w:type="paragraph" w:styleId="4">
    <w:name w:val="header"/>
    <w:basedOn w:val="1"/>
    <w:link w:val="9"/>
    <w:qFormat/>
    <w:uiPriority w:val="0"/>
    <w:pPr>
      <w:pBdr>
        <w:bottom w:val="single" w:color="auto" w:sz="6" w:space="1"/>
      </w:pBdr>
      <w:tabs>
        <w:tab w:val="center" w:pos="4153"/>
        <w:tab w:val="right" w:pos="8306"/>
      </w:tabs>
      <w:snapToGrid w:val="0"/>
      <w:jc w:val="center"/>
    </w:pPr>
    <w:rPr>
      <w:sz w:val="18"/>
      <w:szCs w:val="18"/>
    </w:rPr>
  </w:style>
  <w:style w:type="paragraph" w:styleId="5">
    <w:name w:val="Normal (Web)"/>
    <w:basedOn w:val="1"/>
    <w:qFormat/>
    <w:uiPriority w:val="0"/>
    <w:pPr>
      <w:spacing w:beforeAutospacing="1" w:afterAutospacing="1"/>
      <w:jc w:val="left"/>
    </w:pPr>
    <w:rPr>
      <w:rFonts w:cs="Times New Roman"/>
      <w:kern w:val="0"/>
      <w:sz w:val="24"/>
    </w:rPr>
  </w:style>
  <w:style w:type="character" w:styleId="8">
    <w:name w:val="Strong"/>
    <w:basedOn w:val="7"/>
    <w:qFormat/>
    <w:uiPriority w:val="0"/>
    <w:rPr>
      <w:b/>
    </w:rPr>
  </w:style>
  <w:style w:type="character" w:customStyle="1" w:styleId="9">
    <w:name w:val="页眉 Char"/>
    <w:basedOn w:val="7"/>
    <w:link w:val="4"/>
    <w:qFormat/>
    <w:uiPriority w:val="0"/>
    <w:rPr>
      <w:rFonts w:asciiTheme="minorHAnsi" w:hAnsiTheme="minorHAnsi" w:cstheme="minorBidi"/>
      <w:kern w:val="2"/>
      <w:sz w:val="18"/>
      <w:szCs w:val="18"/>
    </w:rPr>
  </w:style>
  <w:style w:type="character" w:customStyle="1" w:styleId="10">
    <w:name w:val="页脚 Char"/>
    <w:basedOn w:val="7"/>
    <w:link w:val="3"/>
    <w:qFormat/>
    <w:uiPriority w:val="0"/>
    <w:rPr>
      <w:rFonts w:asciiTheme="minorHAnsi" w:hAnsiTheme="minorHAnsi" w:cstheme="minorBidi"/>
      <w:kern w:val="2"/>
      <w:sz w:val="18"/>
      <w:szCs w:val="18"/>
    </w:rPr>
  </w:style>
  <w:style w:type="character" w:customStyle="1" w:styleId="11">
    <w:name w:val="批注框文本 Char"/>
    <w:basedOn w:val="7"/>
    <w:link w:val="2"/>
    <w:qFormat/>
    <w:uiPriority w:val="0"/>
    <w:rPr>
      <w:rFonts w:asciiTheme="minorHAnsi" w:hAnsiTheme="minorHAnsi" w:cstheme="minorBidi"/>
      <w:kern w:val="2"/>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image" Target="media/image2.png"/><Relationship Id="rId4" Type="http://schemas.openxmlformats.org/officeDocument/2006/relationships/image" Target="media/image1.pn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Company>中国石油大学</Company>
  <Pages>5</Pages>
  <Words>1363</Words>
  <Characters>1553</Characters>
  <Lines>12</Lines>
  <Paragraphs>3</Paragraphs>
  <TotalTime>8</TotalTime>
  <ScaleCrop>false</ScaleCrop>
  <LinksUpToDate>false</LinksUpToDate>
  <CharactersWithSpaces>1572</CharactersWithSpaces>
  <Application>WPS Office_11.1.0.13703_F1E327BC-269C-435d-A152-05C5408002CA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2022-04-11T01:45:00Z</dcterms:created>
  <dc:creator>Administrator</dc:creator>
  <cp:lastModifiedBy>A·coldblood建洋</cp:lastModifiedBy>
  <dcterms:modified xsi:type="dcterms:W3CDTF">2023-03-07T02:39:21Z</dcterms:modified>
  <cp:revision>21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2052-11.1.0.13703</vt:lpwstr>
  </property>
  <property fmtid="{D5CDD505-2E9C-101B-9397-08002B2CF9AE}" pid="3" name="ICV">
    <vt:lpwstr>7CC16DA990554A5B98BE3E7CC6741E5C</vt:lpwstr>
  </property>
</Properties>
</file>